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enter" w:pos="4536" w:leader="none"/>
          <w:tab w:val="right" w:pos="7200" w:leader="none"/>
        </w:tabs>
        <w:spacing w:lineRule="auto" w:line="360" w:before="0" w:after="0"/>
        <w:rPr>
          <w:lang w:eastAsia="hr-HR"/>
        </w:rPr>
      </w:pPr>
      <w:r>
        <w:rPr>
          <w:lang w:eastAsia="hr-HR"/>
        </w:rPr>
        <w:t>PUČKO OTVORENO UČILIŠTE BUJE UNIVERSITÀ POPOLARE APERTA BUIE</w:t>
      </w:r>
    </w:p>
    <w:p>
      <w:pPr>
        <w:pStyle w:val="Normal"/>
        <w:tabs>
          <w:tab w:val="center" w:pos="4536" w:leader="none"/>
          <w:tab w:val="right" w:pos="9072" w:leader="none"/>
        </w:tabs>
        <w:spacing w:lineRule="auto" w:line="360" w:before="0" w:after="0"/>
        <w:rPr>
          <w:lang w:eastAsia="hr-HR"/>
        </w:rPr>
      </w:pPr>
      <w:r>
        <w:rPr>
          <w:lang w:eastAsia="hr-HR"/>
        </w:rPr>
        <w:t>Trg J.B.Tita 6 / Piazza J.B.Tito 6</w:t>
      </w:r>
    </w:p>
    <w:p>
      <w:pPr>
        <w:pStyle w:val="Normal"/>
        <w:tabs>
          <w:tab w:val="center" w:pos="4536" w:leader="none"/>
          <w:tab w:val="right" w:pos="9072" w:leader="none"/>
        </w:tabs>
        <w:spacing w:lineRule="auto" w:line="360" w:before="0" w:after="0"/>
        <w:rPr>
          <w:lang w:eastAsia="hr-HR"/>
        </w:rPr>
      </w:pPr>
      <w:r>
        <w:rPr>
          <w:lang w:eastAsia="hr-HR"/>
        </w:rPr>
        <w:t>e-mail: info@uciliste-buje.eu</w:t>
        <w:tab/>
        <w:tab/>
      </w:r>
    </w:p>
    <w:p>
      <w:pPr>
        <w:pStyle w:val="Normal"/>
        <w:tabs>
          <w:tab w:val="center" w:pos="4536" w:leader="none"/>
          <w:tab w:val="right" w:pos="9072" w:leader="none"/>
        </w:tabs>
        <w:spacing w:lineRule="auto" w:line="360" w:before="0" w:after="0"/>
        <w:rPr>
          <w:lang w:eastAsia="hr-HR"/>
        </w:rPr>
      </w:pPr>
      <w:r>
        <w:rPr>
          <w:lang w:eastAsia="hr-HR"/>
        </w:rPr>
        <w:t>tel:   052 773 075</w:t>
      </w:r>
    </w:p>
    <w:p>
      <w:pPr>
        <w:pStyle w:val="Normal"/>
        <w:spacing w:lineRule="auto" w:line="360" w:before="0" w:after="0"/>
        <w:rPr>
          <w:lang w:eastAsia="hr-HR"/>
        </w:rPr>
      </w:pPr>
      <w:r>
        <w:rPr>
          <w:lang w:eastAsia="hr-HR"/>
        </w:rPr>
      </w:r>
    </w:p>
    <w:p>
      <w:pPr>
        <w:pStyle w:val="Normal"/>
        <w:spacing w:lineRule="auto" w:line="360" w:before="0" w:after="0"/>
        <w:rPr/>
      </w:pPr>
      <w:r>
        <w:rPr>
          <w:lang w:eastAsia="hr-HR"/>
        </w:rPr>
        <w:t>KLASA: 400-02/17-01/02</w:t>
      </w:r>
    </w:p>
    <w:p>
      <w:pPr>
        <w:pStyle w:val="Normal"/>
        <w:spacing w:lineRule="auto" w:line="360" w:before="0" w:after="0"/>
        <w:rPr/>
      </w:pPr>
      <w:r>
        <w:rPr>
          <w:lang w:eastAsia="hr-HR"/>
        </w:rPr>
        <w:t xml:space="preserve">URBOJ: </w:t>
      </w:r>
      <w:r>
        <w:rPr>
          <w:color w:val="000000"/>
          <w:lang w:eastAsia="hr-HR"/>
        </w:rPr>
        <w:t>2105/01-07/1-17-3</w:t>
      </w:r>
    </w:p>
    <w:p>
      <w:pPr>
        <w:pStyle w:val="Normal"/>
        <w:spacing w:lineRule="auto" w:line="360" w:before="0" w:after="0"/>
        <w:rPr/>
      </w:pPr>
      <w:r>
        <w:rPr>
          <w:color w:val="000000"/>
          <w:lang w:eastAsia="hr-HR"/>
        </w:rPr>
        <w:t>Buje, 08.12.2017.</w:t>
      </w:r>
    </w:p>
    <w:p>
      <w:pPr>
        <w:pStyle w:val="Normal"/>
        <w:spacing w:lineRule="auto" w:line="360" w:before="0" w:after="0"/>
        <w:rPr>
          <w:lang w:eastAsia="hr-HR"/>
        </w:rPr>
      </w:pPr>
      <w:r>
        <w:rPr>
          <w:lang w:eastAsia="hr-HR"/>
        </w:rPr>
      </w:r>
    </w:p>
    <w:p>
      <w:pPr>
        <w:pStyle w:val="Normal"/>
        <w:spacing w:lineRule="auto" w:line="360" w:before="0" w:after="0"/>
        <w:rPr>
          <w:lang w:eastAsia="hr-HR"/>
        </w:rPr>
      </w:pPr>
      <w:r>
        <w:rPr>
          <w:lang w:eastAsia="hr-HR"/>
        </w:rPr>
      </w:r>
    </w:p>
    <w:p>
      <w:pPr>
        <w:pStyle w:val="Normal"/>
        <w:spacing w:lineRule="auto" w:line="360" w:before="0" w:after="0"/>
        <w:rPr>
          <w:lang w:eastAsia="hr-HR"/>
        </w:rPr>
      </w:pPr>
      <w:r>
        <w:rPr>
          <w:lang w:eastAsia="hr-HR"/>
        </w:rPr>
      </w:r>
    </w:p>
    <w:p>
      <w:pPr>
        <w:pStyle w:val="Normal"/>
        <w:spacing w:lineRule="auto" w:line="360" w:before="0" w:after="0"/>
        <w:rPr>
          <w:lang w:eastAsia="hr-HR"/>
        </w:rPr>
      </w:pPr>
      <w:r>
        <w:rPr>
          <w:lang w:eastAsia="hr-HR"/>
        </w:rPr>
        <w:tab/>
        <w:tab/>
      </w:r>
    </w:p>
    <w:p>
      <w:pPr>
        <w:pStyle w:val="Normal"/>
        <w:spacing w:lineRule="auto" w:line="360" w:before="0" w:after="0"/>
        <w:rPr>
          <w:lang w:eastAsia="hr-HR"/>
        </w:rPr>
      </w:pPr>
      <w:r>
        <w:rPr>
          <w:lang w:eastAsia="hr-HR"/>
        </w:rPr>
      </w:r>
    </w:p>
    <w:p>
      <w:pPr>
        <w:pStyle w:val="Normal"/>
        <w:spacing w:lineRule="auto" w:line="360" w:before="0" w:after="0"/>
        <w:rPr>
          <w:lang w:eastAsia="hr-HR"/>
        </w:rPr>
      </w:pPr>
      <w:r>
        <w:rPr>
          <w:lang w:eastAsia="hr-HR"/>
        </w:rPr>
      </w:r>
    </w:p>
    <w:p>
      <w:pPr>
        <w:pStyle w:val="Normal"/>
        <w:spacing w:lineRule="auto" w:line="360" w:before="0" w:after="0"/>
        <w:rPr>
          <w:lang w:eastAsia="hr-HR"/>
        </w:rPr>
      </w:pPr>
      <w:r>
        <w:rPr>
          <w:lang w:eastAsia="hr-HR"/>
        </w:rPr>
      </w:r>
    </w:p>
    <w:p>
      <w:pPr>
        <w:pStyle w:val="Normal"/>
        <w:spacing w:lineRule="auto" w:line="360" w:before="0" w:after="0"/>
        <w:jc w:val="center"/>
        <w:rPr>
          <w:lang w:eastAsia="hr-HR"/>
        </w:rPr>
      </w:pPr>
      <w:r>
        <w:rPr>
          <w:lang w:eastAsia="hr-HR"/>
        </w:rPr>
      </w:r>
    </w:p>
    <w:p>
      <w:pPr>
        <w:pStyle w:val="Normal"/>
        <w:spacing w:lineRule="auto" w:line="360" w:before="0" w:after="0"/>
        <w:jc w:val="center"/>
        <w:rPr>
          <w:sz w:val="40"/>
          <w:szCs w:val="40"/>
          <w:lang w:eastAsia="hr-HR"/>
        </w:rPr>
      </w:pPr>
      <w:r>
        <w:rPr>
          <w:sz w:val="40"/>
          <w:szCs w:val="40"/>
          <w:lang w:eastAsia="hr-HR"/>
        </w:rPr>
        <w:t>Financijski plan</w:t>
      </w:r>
    </w:p>
    <w:p>
      <w:pPr>
        <w:pStyle w:val="Normal"/>
        <w:spacing w:lineRule="auto" w:line="360" w:before="0" w:after="0"/>
        <w:jc w:val="center"/>
        <w:rPr>
          <w:sz w:val="40"/>
          <w:szCs w:val="40"/>
          <w:lang w:eastAsia="hr-HR"/>
        </w:rPr>
      </w:pPr>
      <w:r>
        <w:rPr>
          <w:sz w:val="40"/>
          <w:szCs w:val="40"/>
          <w:lang w:eastAsia="hr-HR"/>
        </w:rPr>
        <w:t>Pučkog otvorenog učilišta Buje</w:t>
      </w:r>
    </w:p>
    <w:p>
      <w:pPr>
        <w:pStyle w:val="Normal"/>
        <w:spacing w:lineRule="auto" w:line="360" w:before="0" w:after="0"/>
        <w:jc w:val="center"/>
        <w:rPr/>
      </w:pPr>
      <w:r>
        <w:rPr>
          <w:sz w:val="40"/>
          <w:szCs w:val="40"/>
          <w:lang w:eastAsia="hr-HR"/>
        </w:rPr>
        <w:t>2018.</w:t>
      </w:r>
    </w:p>
    <w:p>
      <w:pPr>
        <w:pStyle w:val="Normal"/>
        <w:spacing w:lineRule="auto" w:line="360" w:before="0" w:after="0"/>
        <w:jc w:val="center"/>
        <w:rPr>
          <w:b/>
          <w:b/>
          <w:sz w:val="40"/>
          <w:szCs w:val="40"/>
          <w:lang w:eastAsia="hr-HR"/>
        </w:rPr>
      </w:pPr>
      <w:r>
        <w:rPr>
          <w:b/>
          <w:sz w:val="40"/>
          <w:szCs w:val="40"/>
          <w:lang w:eastAsia="hr-HR"/>
        </w:rPr>
        <w:t>- O B R A Z L O Ž E N J E -</w:t>
      </w:r>
    </w:p>
    <w:p>
      <w:pPr>
        <w:pStyle w:val="Normal"/>
        <w:spacing w:lineRule="auto" w:line="360" w:before="0" w:after="0"/>
        <w:ind w:left="1416" w:firstLine="708"/>
        <w:rPr>
          <w:lang w:eastAsia="hr-HR"/>
        </w:rPr>
      </w:pPr>
      <w:r>
        <w:rPr>
          <w:lang w:eastAsia="hr-HR"/>
        </w:rPr>
      </w:r>
    </w:p>
    <w:p>
      <w:pPr>
        <w:pStyle w:val="Normal"/>
        <w:spacing w:lineRule="auto" w:line="360" w:before="0" w:after="0"/>
        <w:jc w:val="both"/>
        <w:rPr>
          <w:lang w:eastAsia="hr-HR"/>
        </w:rPr>
      </w:pPr>
      <w:r>
        <w:rPr>
          <w:lang w:eastAsia="hr-HR"/>
        </w:rPr>
      </w:r>
    </w:p>
    <w:p>
      <w:pPr>
        <w:pStyle w:val="Normal"/>
        <w:spacing w:lineRule="auto" w:line="360" w:before="0" w:after="0"/>
        <w:jc w:val="both"/>
        <w:rPr>
          <w:lang w:eastAsia="hr-HR"/>
        </w:rPr>
      </w:pPr>
      <w:r>
        <w:rPr>
          <w:lang w:eastAsia="hr-HR"/>
        </w:rPr>
      </w:r>
    </w:p>
    <w:p>
      <w:pPr>
        <w:pStyle w:val="Normal"/>
        <w:spacing w:lineRule="auto" w:line="360" w:before="0" w:after="0"/>
        <w:jc w:val="both"/>
        <w:rPr>
          <w:lang w:eastAsia="hr-HR"/>
        </w:rPr>
      </w:pPr>
      <w:r>
        <w:rPr>
          <w:lang w:eastAsia="hr-HR"/>
        </w:rPr>
      </w:r>
    </w:p>
    <w:p>
      <w:pPr>
        <w:pStyle w:val="Normal"/>
        <w:spacing w:lineRule="auto" w:line="360" w:before="0" w:after="0"/>
        <w:jc w:val="both"/>
        <w:rPr>
          <w:lang w:eastAsia="hr-HR"/>
        </w:rPr>
      </w:pPr>
      <w:r>
        <w:rPr>
          <w:lang w:eastAsia="hr-HR"/>
        </w:rPr>
      </w:r>
    </w:p>
    <w:p>
      <w:pPr>
        <w:pStyle w:val="Normal"/>
        <w:spacing w:lineRule="auto" w:line="360" w:before="0" w:after="0"/>
        <w:jc w:val="both"/>
        <w:rPr>
          <w:lang w:eastAsia="hr-HR"/>
        </w:rPr>
      </w:pPr>
      <w:r>
        <w:rPr>
          <w:lang w:eastAsia="hr-HR"/>
        </w:rPr>
      </w:r>
    </w:p>
    <w:p>
      <w:pPr>
        <w:pStyle w:val="Normal"/>
        <w:spacing w:lineRule="auto" w:line="360" w:before="0" w:after="0"/>
        <w:jc w:val="both"/>
        <w:rPr>
          <w:lang w:eastAsia="hr-HR"/>
        </w:rPr>
      </w:pPr>
      <w:r>
        <w:rPr>
          <w:lang w:eastAsia="hr-HR"/>
        </w:rPr>
      </w:r>
    </w:p>
    <w:p>
      <w:pPr>
        <w:pStyle w:val="Normal"/>
        <w:spacing w:lineRule="auto" w:line="360" w:before="0" w:after="0"/>
        <w:jc w:val="both"/>
        <w:rPr>
          <w:lang w:eastAsia="hr-HR"/>
        </w:rPr>
      </w:pPr>
      <w:r>
        <w:rPr>
          <w:lang w:eastAsia="hr-HR"/>
        </w:rPr>
      </w:r>
    </w:p>
    <w:p>
      <w:pPr>
        <w:pStyle w:val="Normal"/>
        <w:spacing w:lineRule="auto" w:line="360" w:before="0" w:after="0"/>
        <w:jc w:val="both"/>
        <w:rPr>
          <w:lang w:eastAsia="hr-HR"/>
        </w:rPr>
      </w:pPr>
      <w:r>
        <w:rPr>
          <w:lang w:eastAsia="hr-HR"/>
        </w:rPr>
      </w:r>
    </w:p>
    <w:p>
      <w:pPr>
        <w:pStyle w:val="Normal"/>
        <w:spacing w:lineRule="auto" w:line="360" w:before="0" w:after="0"/>
        <w:jc w:val="both"/>
        <w:rPr>
          <w:lang w:eastAsia="hr-HR"/>
        </w:rPr>
      </w:pPr>
      <w:r>
        <w:rPr>
          <w:lang w:eastAsia="hr-HR"/>
        </w:rPr>
      </w:r>
    </w:p>
    <w:p>
      <w:pPr>
        <w:pStyle w:val="Normal"/>
        <w:spacing w:lineRule="auto" w:line="360"/>
        <w:rPr>
          <w:lang w:eastAsia="hr-HR"/>
        </w:rPr>
      </w:pPr>
      <w:r>
        <w:rPr>
          <w:lang w:eastAsia="hr-HR"/>
        </w:rPr>
      </w:r>
    </w:p>
    <w:p>
      <w:pPr>
        <w:pStyle w:val="Normal"/>
        <w:spacing w:lineRule="auto" w:line="360"/>
        <w:rPr>
          <w:b/>
          <w:b/>
          <w:i/>
          <w:i/>
        </w:rPr>
      </w:pPr>
      <w:r>
        <w:rPr>
          <w:b/>
          <w:i/>
        </w:rPr>
        <w:t>1. UVOD –SAŽETAK DJELOKRUGA RADA PRORAČUNSKOG KORISNIKA</w:t>
      </w:r>
    </w:p>
    <w:p>
      <w:pPr>
        <w:pStyle w:val="Normal"/>
        <w:spacing w:lineRule="auto" w:line="360" w:before="0" w:after="0"/>
        <w:jc w:val="both"/>
        <w:rPr>
          <w:lang w:eastAsia="hr-HR"/>
        </w:rPr>
      </w:pPr>
      <w:r>
        <w:rPr>
          <w:lang w:eastAsia="hr-HR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Pučko otvoreno  učilište je  sljedbenik Narodnog sveučilišta  Buje, jednog od najstarijih  u  Hrvatskoj, osnovanog  1951. g  kao  centralne  ustanove  za kulturu  i  obrazovanje odraslih  u  Kotaru  Buje.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U bogatoj  povijesti  bavilo se  obrazovanjem odraslih,  od opismenjavanja do  fakultetske  naobrazbe građana s ovoga  područja.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Kulturne aktivnosti  drugi su  bitan  segment  djelovanja ove  ustanove, počevši  od  raznih i veoma brojnih kulturno amaterskih  skupina, te  poluprofesionalnog kazališta, kinoprikazivačke djelatnosti, do  organizacije bezbrojnih  programa, susreta,  festivala  i  simpozija.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Danas se Pučko otvoreno učilište bavi knjižničnom, muzejskom i  izdavačkom  djelatnošću, te pružanjem  raznih  tehničkih  i  intelektualnih  usluga  za sve udruge i institucije  na  području  Grada Buje.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</w:r>
    </w:p>
    <w:p>
      <w:pPr>
        <w:pStyle w:val="Normal"/>
        <w:spacing w:lineRule="auto" w:line="360" w:before="0" w:after="0"/>
        <w:rPr/>
      </w:pPr>
      <w:r>
        <w:rPr/>
        <w:t xml:space="preserve">Pučko otvoreno učilište Buje je javna neprofitna ustanova čiji je osnivač Grad Buje. Ukupno zapošljava </w:t>
      </w:r>
      <w:r>
        <w:rPr>
          <w:highlight w:val="white"/>
        </w:rPr>
        <w:t>6 djelatnika i to ravnatelja, voditelja projekata u obrazovanju i kulturu, stručni suradnik – knjižničar, stručni suradnik – kustos, voditelj računovodstva-administrator, kućnog majstora – lozač-scenski tehničar  te spremačicu.</w:t>
      </w:r>
    </w:p>
    <w:p>
      <w:pPr>
        <w:pStyle w:val="Normal"/>
        <w:spacing w:lineRule="auto" w:line="360" w:before="0" w:after="0"/>
        <w:rPr/>
      </w:pPr>
      <w:r>
        <w:rPr/>
        <w:t>POU Buje provodi djelatnosti koje su utvrđene Zakonom o Pučkim otvorenim učilištima (NN 54/97). U svom djelovanju provodi i odredbe drugih zakona koje se odnose na pojedinačne djelatnosti koje izvodi (Zakon o knjižnicama, Zakon o muzejima i sl.).</w:t>
      </w:r>
    </w:p>
    <w:p>
      <w:pPr>
        <w:pStyle w:val="Normal"/>
        <w:spacing w:lineRule="auto" w:line="360" w:before="0" w:after="0"/>
        <w:rPr/>
      </w:pPr>
      <w:r>
        <w:rPr/>
        <w:t>Pučko otvoreno učilište svoje djelatnosti provodi u matičnoj zgradi na adresi Trg J.B. Tita 6, u kojoj se nalazi i Podružnica Gradske knjižnice, te na adresi Trg slobode 1, gdje se nalaze Podružnice Gradski muzej Buje i Podružnica Gradska galerija Orsola.</w:t>
      </w:r>
    </w:p>
    <w:p>
      <w:pPr>
        <w:pStyle w:val="Normal"/>
        <w:spacing w:lineRule="auto" w:line="360" w:before="0" w:after="0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spacing w:lineRule="auto" w:line="360" w:before="0" w:after="0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spacing w:lineRule="auto" w:line="360" w:before="0" w:after="0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spacing w:lineRule="auto" w:line="360" w:before="0" w:after="0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spacing w:lineRule="auto" w:line="360" w:before="0" w:after="0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spacing w:lineRule="auto" w:line="360" w:before="0" w:after="0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spacing w:lineRule="auto" w:line="360" w:before="0" w:after="0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spacing w:lineRule="auto" w:line="360" w:before="0" w:after="0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spacing w:lineRule="auto" w:line="360" w:before="0" w:after="0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spacing w:lineRule="auto" w:line="360" w:before="0" w:after="0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spacing w:lineRule="auto" w:line="360" w:before="0" w:after="0"/>
        <w:rPr/>
      </w:pPr>
      <w:r>
        <w:rPr>
          <w:b/>
          <w:i/>
        </w:rPr>
        <w:t>2. OBRAZLOŽENJE PROGRAMA (AKTIVNOSTI I PROJEKATA) I</w:t>
      </w:r>
      <w:r>
        <w:rPr/>
        <w:t xml:space="preserve"> </w:t>
      </w:r>
      <w:r>
        <w:rPr>
          <w:b/>
          <w:i/>
        </w:rPr>
        <w:t>ISHODIŠTE I POKAZATELJI NA KOJIMA SE ZASNIVAJU IZRAČUNI I OCJENE POTREBNIH SREDSTAVA ZA PROVOĐENJE PROGRAMA</w:t>
      </w:r>
    </w:p>
    <w:p>
      <w:pPr>
        <w:pStyle w:val="Normal"/>
        <w:spacing w:lineRule="auto" w:line="360" w:before="0" w:after="0"/>
        <w:jc w:val="both"/>
        <w:rPr>
          <w:lang w:eastAsia="hr-HR"/>
        </w:rPr>
      </w:pPr>
      <w:r>
        <w:rPr>
          <w:lang w:eastAsia="hr-HR"/>
        </w:rPr>
      </w:r>
    </w:p>
    <w:p>
      <w:pPr>
        <w:pStyle w:val="Normal"/>
        <w:spacing w:lineRule="auto" w:line="360" w:before="0" w:after="0"/>
        <w:rPr/>
      </w:pPr>
      <w:r>
        <w:rPr/>
      </w:r>
    </w:p>
    <w:p>
      <w:pPr>
        <w:pStyle w:val="ListParagraph"/>
        <w:spacing w:lineRule="auto" w:line="360"/>
        <w:ind w:left="0" w:hanging="0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MISIJA </w:t>
      </w:r>
    </w:p>
    <w:p>
      <w:pPr>
        <w:pStyle w:val="ListParagraph"/>
        <w:spacing w:lineRule="auto" w:line="360"/>
        <w:ind w:left="0" w:hang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Unapređenje  kvalitete ponude, organizacije i provedbe obrazovnih i kulturnih programa i događanja s ciljem podizanja općeg znanja i vještina korisnika u skladu sa suvremenim izazovima i potrebama današnjeg društva.</w:t>
      </w:r>
    </w:p>
    <w:p>
      <w:pPr>
        <w:pStyle w:val="ListParagraph"/>
        <w:spacing w:lineRule="auto" w:line="360"/>
        <w:ind w:left="0" w:hang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istParagraph"/>
        <w:spacing w:lineRule="auto" w:line="360"/>
        <w:ind w:left="0" w:hanging="0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VIZIJA</w:t>
      </w:r>
    </w:p>
    <w:p>
      <w:pPr>
        <w:pStyle w:val="ListParagraph"/>
        <w:spacing w:lineRule="auto" w:line="360"/>
        <w:ind w:left="0" w:hanging="0"/>
        <w:rPr>
          <w:rFonts w:ascii="Calibri" w:hAnsi="Calibri"/>
          <w:sz w:val="22"/>
          <w:szCs w:val="22"/>
          <w:highlight w:val="white"/>
        </w:rPr>
      </w:pPr>
      <w:r>
        <w:rPr>
          <w:rFonts w:ascii="Calibri" w:hAnsi="Calibri"/>
          <w:sz w:val="22"/>
          <w:szCs w:val="22"/>
        </w:rPr>
        <w:t xml:space="preserve">Stvoriti ustanovu usmjerenu cjeloživotnom učenju, bogatu programima koji potiču razvoj temeljnih kompetencija za korisnike sve životne dobi, </w:t>
      </w:r>
      <w:r>
        <w:rPr>
          <w:rFonts w:ascii="Calibri" w:hAnsi="Calibri"/>
          <w:sz w:val="22"/>
          <w:szCs w:val="22"/>
          <w:shd w:fill="FFFFFF" w:val="clear"/>
        </w:rPr>
        <w:t xml:space="preserve">ugodno mjesto za rad s adekvatno uređenim i dobro opremljenim prostorom, uvijek ukorak s novim tehnologijama te s ustrojenim sustavnom osiguranja kvalitete. Pružati profesionalne programe za građane i poduzeća te edukativno-odgojno-kreativno-kulturne radionice za različite dobne i socijalne skupine s naglaskom na učenje kroz zabavu. Izgraditi i njegovati kvalitetne partnerske odnose s različitim organizacijama iz profitnog i neprofitnog sektora s ciljem zajedničkog kreiranja primjenjivog, sveobuhvatnog i svrsishodnog programa koji će zadovoljiti potrebe korisnika različite dobi, interesa i sklonosti. </w:t>
      </w:r>
    </w:p>
    <w:p>
      <w:pPr>
        <w:pStyle w:val="Normal"/>
        <w:spacing w:lineRule="auto" w:line="360" w:before="0" w:after="0"/>
        <w:rPr/>
      </w:pPr>
      <w:r>
        <w:rPr/>
      </w:r>
    </w:p>
    <w:p>
      <w:pPr>
        <w:pStyle w:val="Normal"/>
        <w:spacing w:lineRule="auto" w:line="360" w:before="0" w:after="0"/>
        <w:rPr/>
      </w:pPr>
      <w:r>
        <w:rPr/>
        <w:t xml:space="preserve">Financijski plan izrađen je prema Pravilniku o proračunskom računovodstvu i Računskom planu (Nar. Nov., br. 124/14 i 115/15  i 87/16 god.), Pravilniku o proračunskim klasifikacijama (Nar.nov., br. 26/10 i 120/13), te je razrađen po izvorima prihoda i načinu terećenja rashoda. </w:t>
      </w:r>
    </w:p>
    <w:p>
      <w:pPr>
        <w:pStyle w:val="Normal"/>
        <w:spacing w:lineRule="auto" w:line="360" w:before="0" w:after="0"/>
        <w:rPr>
          <w:highlight w:val="yellow"/>
        </w:rPr>
      </w:pPr>
      <w:r>
        <w:rPr>
          <w:highlight w:val="yellow"/>
        </w:rPr>
      </w:r>
    </w:p>
    <w:p>
      <w:pPr>
        <w:pStyle w:val="Normal"/>
        <w:spacing w:lineRule="auto" w:line="360" w:before="0" w:after="0"/>
        <w:rPr>
          <w:highlight w:val="yellow"/>
        </w:rPr>
      </w:pPr>
      <w:r>
        <w:rPr/>
        <w:t xml:space="preserve">Financijski plan usklađen je s člankom 29. Zakona o proračunu te sadrži: </w:t>
      </w:r>
    </w:p>
    <w:p>
      <w:pPr>
        <w:pStyle w:val="Normal"/>
        <w:spacing w:lineRule="auto" w:line="360" w:before="0" w:after="0"/>
        <w:rPr>
          <w:highlight w:val="yellow"/>
        </w:rPr>
      </w:pPr>
      <w:r>
        <w:rPr/>
        <w:t xml:space="preserve">1. procjene prihoda i primitaka iskazane po vrstama (razred 6) </w:t>
      </w:r>
    </w:p>
    <w:p>
      <w:pPr>
        <w:pStyle w:val="Normal"/>
        <w:spacing w:lineRule="auto" w:line="360" w:before="0" w:after="0"/>
        <w:rPr>
          <w:highlight w:val="yellow"/>
        </w:rPr>
      </w:pPr>
      <w:r>
        <w:rPr/>
        <w:t xml:space="preserve">2. plan rashoda i izdataka (razred 3) </w:t>
      </w:r>
    </w:p>
    <w:p>
      <w:pPr>
        <w:pStyle w:val="Normal"/>
        <w:spacing w:lineRule="auto" w:line="360" w:before="0" w:after="0"/>
        <w:rPr>
          <w:highlight w:val="yellow"/>
        </w:rPr>
      </w:pPr>
      <w:r>
        <w:rPr/>
        <w:t xml:space="preserve">3. plan rashoda i izdataka za nabavu dugotrajne imovine (razred 4) </w:t>
      </w:r>
    </w:p>
    <w:p>
      <w:pPr>
        <w:pStyle w:val="Normal"/>
        <w:spacing w:lineRule="auto" w:line="360" w:before="0" w:after="0"/>
        <w:rPr/>
      </w:pPr>
      <w:r>
        <w:rPr/>
        <w:t xml:space="preserve">4. obrazloženje financijskog plana. </w:t>
      </w:r>
    </w:p>
    <w:p>
      <w:pPr>
        <w:pStyle w:val="Normal"/>
        <w:spacing w:lineRule="auto" w:line="360" w:before="0" w:after="0"/>
        <w:rPr/>
      </w:pPr>
      <w:r>
        <w:rPr/>
      </w:r>
    </w:p>
    <w:p>
      <w:pPr>
        <w:pStyle w:val="Normal"/>
        <w:spacing w:lineRule="auto" w:line="360" w:before="0" w:after="0"/>
        <w:rPr/>
      </w:pPr>
      <w:r>
        <w:rPr/>
      </w:r>
    </w:p>
    <w:p>
      <w:pPr>
        <w:pStyle w:val="Normal"/>
        <w:spacing w:lineRule="auto" w:line="360" w:before="0" w:after="0"/>
        <w:rPr/>
      </w:pPr>
      <w:r>
        <w:rPr/>
      </w:r>
    </w:p>
    <w:p>
      <w:pPr>
        <w:pStyle w:val="Normal"/>
        <w:spacing w:lineRule="auto" w:line="360" w:before="0" w:after="0"/>
        <w:rPr/>
      </w:pPr>
      <w:r>
        <w:rPr/>
      </w:r>
    </w:p>
    <w:p>
      <w:pPr>
        <w:pStyle w:val="Normal"/>
        <w:spacing w:lineRule="auto" w:line="360" w:before="0" w:after="0"/>
        <w:rPr/>
      </w:pPr>
      <w:r>
        <w:rPr/>
      </w:r>
    </w:p>
    <w:p>
      <w:pPr>
        <w:pStyle w:val="Normal"/>
        <w:spacing w:lineRule="auto" w:line="360" w:before="0" w:after="0"/>
        <w:rPr/>
      </w:pPr>
      <w:r>
        <w:rPr/>
      </w:r>
    </w:p>
    <w:p>
      <w:pPr>
        <w:pStyle w:val="Normal"/>
        <w:spacing w:lineRule="auto" w:line="360" w:before="0" w:after="0"/>
        <w:rPr/>
      </w:pPr>
      <w:r>
        <w:rPr/>
      </w:r>
    </w:p>
    <w:p>
      <w:pPr>
        <w:pStyle w:val="Normal"/>
        <w:spacing w:lineRule="auto" w:line="360" w:before="0" w:after="0"/>
        <w:rPr/>
      </w:pPr>
      <w:r>
        <w:rPr/>
      </w:r>
    </w:p>
    <w:p>
      <w:pPr>
        <w:pStyle w:val="Normal"/>
        <w:spacing w:lineRule="auto" w:line="360" w:before="0" w:after="0"/>
        <w:rPr/>
      </w:pPr>
      <w:r>
        <w:rPr>
          <w:b/>
          <w:i/>
        </w:rPr>
        <w:t xml:space="preserve">Procjena prihoda i primitaka iskazana je po vrstama i to: </w:t>
      </w:r>
    </w:p>
    <w:p>
      <w:pPr>
        <w:pStyle w:val="Normal"/>
        <w:spacing w:lineRule="auto" w:line="360" w:before="0" w:after="0"/>
        <w:rPr/>
      </w:pPr>
      <w:r>
        <w:rPr>
          <w:i/>
        </w:rPr>
        <w:t xml:space="preserve">- Prihodi od pomoći iz proračuna koji nije nadležan (podskupina 636) </w:t>
      </w:r>
    </w:p>
    <w:p>
      <w:pPr>
        <w:pStyle w:val="Normal"/>
        <w:spacing w:lineRule="auto" w:line="360" w:before="0" w:after="0"/>
        <w:rPr>
          <w:i/>
          <w:i/>
          <w:color w:val="000000"/>
        </w:rPr>
      </w:pPr>
      <w:r>
        <w:rPr>
          <w:i/>
          <w:color w:val="000000"/>
        </w:rPr>
        <w:t>- prihodi od  financijske imovine (podskupina 641),</w:t>
      </w:r>
    </w:p>
    <w:p>
      <w:pPr>
        <w:pStyle w:val="Normal"/>
        <w:spacing w:lineRule="auto" w:line="360" w:before="0" w:after="0"/>
        <w:ind w:left="142" w:hanging="142"/>
        <w:rPr/>
      </w:pPr>
      <w:r>
        <w:rPr/>
        <w:t>- prihodi po posebnim propisima -sufinanciranje cijene usluge, participacije i sl.(podskupina 652),</w:t>
      </w:r>
    </w:p>
    <w:p>
      <w:pPr>
        <w:pStyle w:val="Normal"/>
        <w:spacing w:lineRule="auto" w:line="360" w:before="0" w:after="0"/>
        <w:ind w:left="142" w:hanging="142"/>
        <w:rPr/>
      </w:pPr>
      <w:r>
        <w:rPr/>
        <w:t>- prihodi od prodaje  pruženih usluga (podskupina 661),</w:t>
      </w:r>
    </w:p>
    <w:p>
      <w:pPr>
        <w:pStyle w:val="Normal"/>
        <w:spacing w:lineRule="auto" w:line="360" w:before="0" w:after="0"/>
        <w:ind w:left="142" w:hanging="142"/>
        <w:rPr/>
      </w:pPr>
      <w:r>
        <w:rPr/>
        <w:t>- prihodi od donacije (podskupina 663),</w:t>
      </w:r>
    </w:p>
    <w:p>
      <w:pPr>
        <w:pStyle w:val="Normal"/>
        <w:spacing w:lineRule="auto" w:line="360" w:before="0" w:after="0"/>
        <w:rPr/>
      </w:pPr>
      <w:r>
        <w:rPr/>
        <w:t xml:space="preserve">- prihodi iz nadležnog proračuna za financiranje redovne djelatnosti (podskupina 671), </w:t>
      </w:r>
    </w:p>
    <w:p>
      <w:pPr>
        <w:pStyle w:val="Normal"/>
        <w:spacing w:lineRule="auto" w:line="360" w:before="0" w:after="0"/>
        <w:rPr/>
      </w:pPr>
      <w:r>
        <w:rPr/>
      </w:r>
    </w:p>
    <w:p>
      <w:pPr>
        <w:pStyle w:val="Normal"/>
        <w:spacing w:lineRule="auto" w:line="360" w:before="0" w:after="0"/>
        <w:rPr>
          <w:b/>
          <w:b/>
          <w:i/>
          <w:i/>
        </w:rPr>
      </w:pPr>
      <w:r>
        <w:rPr>
          <w:b/>
          <w:i/>
        </w:rPr>
        <w:t>te po izvorima:</w:t>
      </w:r>
    </w:p>
    <w:p>
      <w:pPr>
        <w:pStyle w:val="ListParagraph"/>
        <w:numPr>
          <w:ilvl w:val="0"/>
          <w:numId w:val="3"/>
        </w:numPr>
        <w:spacing w:lineRule="auto" w:line="360"/>
        <w:rPr>
          <w:rFonts w:ascii="Calibri" w:hAnsi="Calibri"/>
          <w:b/>
          <w:b/>
          <w:i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>opći prihodi i primici</w:t>
      </w:r>
    </w:p>
    <w:p>
      <w:pPr>
        <w:pStyle w:val="ListParagraph"/>
        <w:numPr>
          <w:ilvl w:val="0"/>
          <w:numId w:val="3"/>
        </w:numPr>
        <w:spacing w:lineRule="auto" w:line="360"/>
        <w:rPr>
          <w:rFonts w:ascii="Calibri" w:hAnsi="Calibri"/>
          <w:b/>
          <w:b/>
          <w:i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>vlastiti prihodi</w:t>
      </w:r>
    </w:p>
    <w:p>
      <w:pPr>
        <w:pStyle w:val="ListParagraph"/>
        <w:numPr>
          <w:ilvl w:val="0"/>
          <w:numId w:val="3"/>
        </w:numPr>
        <w:spacing w:lineRule="auto" w:line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prihodi od pomoći  (Iz istitucija i tijela EU, iz državnog proračuna, iz županijskog proračuna)</w:t>
      </w:r>
    </w:p>
    <w:p>
      <w:pPr>
        <w:pStyle w:val="ListParagraph"/>
        <w:numPr>
          <w:ilvl w:val="0"/>
          <w:numId w:val="3"/>
        </w:numPr>
        <w:spacing w:lineRule="auto" w:line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prihodi od donacija </w:t>
      </w:r>
    </w:p>
    <w:p>
      <w:pPr>
        <w:pStyle w:val="ListParagraph"/>
        <w:numPr>
          <w:ilvl w:val="0"/>
          <w:numId w:val="3"/>
        </w:numPr>
        <w:spacing w:lineRule="auto" w:line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prihodi od nefinancijske imovine</w:t>
      </w:r>
    </w:p>
    <w:p>
      <w:pPr>
        <w:pStyle w:val="Normal"/>
        <w:spacing w:lineRule="auto" w:line="360" w:before="0" w:after="0"/>
        <w:jc w:val="both"/>
        <w:rPr>
          <w:lang w:eastAsia="hr-HR"/>
        </w:rPr>
      </w:pPr>
      <w:r>
        <w:rPr>
          <w:lang w:eastAsia="hr-HR"/>
        </w:rPr>
      </w:r>
    </w:p>
    <w:p>
      <w:pPr>
        <w:pStyle w:val="Normal"/>
        <w:spacing w:lineRule="auto" w:line="360" w:before="0" w:after="0"/>
        <w:jc w:val="both"/>
        <w:rPr>
          <w:lang w:eastAsia="hr-HR"/>
        </w:rPr>
      </w:pPr>
      <w:r>
        <w:rPr>
          <w:b/>
          <w:i/>
        </w:rPr>
        <w:t>Plan  prihoda i primitka po pojedinom izvoru financiranja</w:t>
      </w:r>
    </w:p>
    <w:p>
      <w:pPr>
        <w:pStyle w:val="Normal"/>
        <w:spacing w:lineRule="auto" w:line="360" w:before="0" w:after="0"/>
        <w:jc w:val="both"/>
        <w:rPr/>
      </w:pPr>
      <w:r>
        <w:rPr/>
        <w:t xml:space="preserve">Ukupni su prihodi planirani na način da se dio prihoda planira od osnivača , dio  Ministarstva kulture, Istarske županije te  vlastiti prihodi (sufinanciranje cijene usluga, povremeni najam  )i donacije. </w:t>
      </w:r>
    </w:p>
    <w:p>
      <w:pPr>
        <w:pStyle w:val="Normal"/>
        <w:spacing w:lineRule="auto" w:line="360" w:before="0" w:after="0"/>
        <w:jc w:val="both"/>
        <w:rPr/>
      </w:pPr>
      <w:r>
        <w:rPr/>
        <w:t>Ukupni planirani prihodi za 2018. godinu iznose</w:t>
      </w:r>
      <w:r>
        <w:rPr>
          <w:highlight w:val="white"/>
        </w:rPr>
        <w:t xml:space="preserve"> </w:t>
      </w:r>
      <w:r>
        <w:rPr>
          <w:b/>
          <w:highlight w:val="white"/>
        </w:rPr>
        <w:t>1.211.000,00 kn.</w:t>
      </w:r>
      <w:r>
        <w:rPr>
          <w:highlight w:val="white"/>
        </w:rPr>
        <w:t xml:space="preserve"> </w:t>
      </w:r>
    </w:p>
    <w:p>
      <w:pPr>
        <w:pStyle w:val="Normal"/>
        <w:spacing w:lineRule="auto" w:line="360" w:before="0" w:after="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360" w:before="0" w:after="0"/>
        <w:rPr>
          <w:b/>
          <w:b/>
          <w:i/>
          <w:i/>
          <w:highlight w:val="yellow"/>
        </w:rPr>
      </w:pPr>
      <w:r>
        <w:rPr>
          <w:b/>
          <w:i/>
        </w:rPr>
        <w:t>Plan rashoda i izdataka iskazan je po vrstama i to:</w:t>
      </w:r>
    </w:p>
    <w:p>
      <w:pPr>
        <w:pStyle w:val="Normal"/>
        <w:spacing w:lineRule="auto" w:line="360" w:before="0" w:after="0"/>
        <w:rPr>
          <w:highlight w:val="yellow"/>
        </w:rPr>
      </w:pPr>
      <w:r>
        <w:rPr/>
        <w:t xml:space="preserve">- rashodi za zaposlene (skupina 31), </w:t>
      </w:r>
    </w:p>
    <w:p>
      <w:pPr>
        <w:pStyle w:val="Normal"/>
        <w:spacing w:lineRule="auto" w:line="360" w:before="0" w:after="0"/>
        <w:rPr>
          <w:highlight w:val="yellow"/>
        </w:rPr>
      </w:pPr>
      <w:r>
        <w:rPr/>
        <w:t>- materijalni rashodi (skupina 32),</w:t>
      </w:r>
    </w:p>
    <w:p>
      <w:pPr>
        <w:pStyle w:val="Normal"/>
        <w:spacing w:lineRule="auto" w:line="360" w:before="0" w:after="0"/>
        <w:rPr>
          <w:highlight w:val="yellow"/>
        </w:rPr>
      </w:pPr>
      <w:r>
        <w:rPr/>
        <w:t>- financijski rashodi (skupina 34),</w:t>
      </w:r>
    </w:p>
    <w:p>
      <w:pPr>
        <w:pStyle w:val="Normal"/>
        <w:spacing w:lineRule="auto" w:line="360" w:before="0" w:after="0"/>
        <w:rPr/>
      </w:pPr>
      <w:r>
        <w:rPr/>
        <w:t xml:space="preserve">- rashodi za nabavu dugotrajne imovine (skupina 42). </w:t>
      </w:r>
    </w:p>
    <w:p>
      <w:pPr>
        <w:pStyle w:val="Normal"/>
        <w:spacing w:lineRule="auto" w:line="360" w:before="0" w:after="0"/>
        <w:jc w:val="both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b/>
          <w:i/>
        </w:rPr>
        <w:t xml:space="preserve">Rashodi i izdaci planirani su na slijedeći način: </w:t>
      </w:r>
    </w:p>
    <w:p>
      <w:pPr>
        <w:pStyle w:val="Normal"/>
        <w:spacing w:lineRule="auto" w:line="360" w:before="0" w:after="0"/>
        <w:jc w:val="both"/>
        <w:rPr>
          <w:b/>
          <w:b/>
        </w:rPr>
      </w:pPr>
      <w:r>
        <w:rPr>
          <w:b/>
        </w:rPr>
        <w:t>311 – Plaće</w:t>
      </w:r>
    </w:p>
    <w:p>
      <w:pPr>
        <w:pStyle w:val="Normal"/>
        <w:spacing w:lineRule="auto" w:line="360" w:before="0" w:after="0"/>
        <w:jc w:val="both"/>
        <w:rPr/>
      </w:pPr>
      <w:r>
        <w:rPr/>
        <w:t xml:space="preserve">Plaće radnika su planirane sukladno Pravilniku o unutarnjem ustroju i načinu rada te koeficijentima za pojedino radno mjesto te važećim propisima. Ukupni planirani rashodi za plaće iznose 639.000,00 kn. </w:t>
      </w:r>
    </w:p>
    <w:p>
      <w:pPr>
        <w:pStyle w:val="Normal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 w:before="0" w:after="0"/>
        <w:jc w:val="both"/>
        <w:rPr>
          <w:b/>
          <w:b/>
        </w:rPr>
      </w:pPr>
      <w:r>
        <w:rPr>
          <w:b/>
        </w:rPr>
        <w:t>312 – Ostali rashodi za zaposlene</w:t>
      </w:r>
    </w:p>
    <w:p>
      <w:pPr>
        <w:pStyle w:val="Normal"/>
        <w:spacing w:lineRule="auto" w:line="360" w:before="0" w:after="0"/>
        <w:jc w:val="both"/>
        <w:rPr/>
      </w:pPr>
      <w:r>
        <w:rPr/>
        <w:t>Ostali rashodi za zaposlene odnose se na regres, božićnica, darove u naravi, darove djeci, jubilarnu nagradu i ostalo za koje u 2017.g.  planirani su u iznosu od  0,00 kn</w:t>
      </w:r>
    </w:p>
    <w:p>
      <w:pPr>
        <w:pStyle w:val="Normal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 w:before="0" w:after="0"/>
        <w:jc w:val="both"/>
        <w:rPr>
          <w:b/>
          <w:b/>
        </w:rPr>
      </w:pPr>
      <w:r>
        <w:rPr>
          <w:b/>
        </w:rPr>
        <w:t>313 – Doprinosi na plaće</w:t>
      </w:r>
    </w:p>
    <w:p>
      <w:pPr>
        <w:pStyle w:val="Normal"/>
        <w:spacing w:lineRule="auto" w:line="360" w:before="0" w:after="0"/>
        <w:jc w:val="both"/>
        <w:rPr/>
      </w:pPr>
      <w:r>
        <w:rPr/>
        <w:t xml:space="preserve">Doprinosi na plaće planirani su po važećim stopama od 17,20% i na postojeći obračunati iznos plaća iznose </w:t>
      </w:r>
      <w:r>
        <w:rPr>
          <w:b/>
        </w:rPr>
        <w:t>109.930,00</w:t>
      </w:r>
      <w:r>
        <w:rPr/>
        <w:t xml:space="preserve"> </w:t>
      </w:r>
      <w:r>
        <w:rPr>
          <w:b/>
        </w:rPr>
        <w:t>kn.</w:t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/>
        <w:t xml:space="preserve">Sveukupni rashodi za zaposlene iznose </w:t>
      </w:r>
      <w:r>
        <w:rPr>
          <w:b/>
        </w:rPr>
        <w:t>748.930,00</w:t>
      </w:r>
      <w:r>
        <w:rPr/>
        <w:t xml:space="preserve"> planirani su iz izvora </w:t>
      </w:r>
      <w:r>
        <w:rPr>
          <w:i/>
        </w:rPr>
        <w:t>opći prihodi i primici  te iz vlastitih prihoda.</w:t>
      </w:r>
      <w:r>
        <w:rPr/>
        <w:t xml:space="preserve"> </w:t>
      </w:r>
    </w:p>
    <w:p>
      <w:pPr>
        <w:pStyle w:val="Normal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 w:before="0" w:after="0"/>
        <w:jc w:val="both"/>
        <w:rPr>
          <w:b/>
          <w:b/>
        </w:rPr>
      </w:pPr>
      <w:r>
        <w:rPr>
          <w:b/>
        </w:rPr>
        <w:t>321 – Naknade troškova zaposlenima</w:t>
      </w:r>
    </w:p>
    <w:p>
      <w:pPr>
        <w:pStyle w:val="Normal"/>
        <w:spacing w:lineRule="auto" w:line="360" w:before="0" w:after="0"/>
        <w:jc w:val="both"/>
        <w:rPr/>
      </w:pPr>
      <w:r>
        <w:rPr/>
        <w:t>Planirane naknade troškova zaposlenima odnose se na: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/>
      </w:pPr>
      <w:r>
        <w:rPr>
          <w:rFonts w:ascii="Calibri" w:hAnsi="Calibri"/>
          <w:sz w:val="22"/>
          <w:szCs w:val="22"/>
        </w:rPr>
        <w:t>Troškove za prijevoz na posao i s posla – troškovi su planirani na razini tekuće godine,  u iznosu od 11.000,00 kn.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/>
      </w:pPr>
      <w:r>
        <w:rPr>
          <w:rFonts w:ascii="Calibri" w:hAnsi="Calibri"/>
          <w:sz w:val="22"/>
          <w:szCs w:val="22"/>
        </w:rPr>
        <w:t>Stručno usavršavanje djelatnika – seminari, stručni skupovi i edukacije vezano uz razvoj djelatnosti ustanove radi poboljšanja kvalitete rada u iznosu od  3.000,00 kn.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/>
      </w:pPr>
      <w:r>
        <w:rPr>
          <w:rFonts w:ascii="Calibri" w:hAnsi="Calibri"/>
          <w:sz w:val="22"/>
          <w:szCs w:val="22"/>
        </w:rPr>
        <w:t>Službena putovanja  za potreba poslovanja ustanove, planirani su u iznosu 3.840,00 kn.</w:t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/>
        <w:t xml:space="preserve">Ukupno su planirane naknade troškova zaposlenima u iznosu </w:t>
      </w:r>
      <w:r>
        <w:rPr>
          <w:b/>
          <w:bCs/>
        </w:rPr>
        <w:t xml:space="preserve">17.840,00 </w:t>
      </w:r>
      <w:r>
        <w:rPr>
          <w:b/>
        </w:rPr>
        <w:t>kn,</w:t>
      </w:r>
      <w:bookmarkStart w:id="0" w:name="__DdeLink__257_1933162198"/>
      <w:r>
        <w:rPr/>
        <w:t xml:space="preserve"> a planirani su iz izvora </w:t>
      </w:r>
      <w:r>
        <w:rPr>
          <w:i/>
        </w:rPr>
        <w:t>opći</w:t>
      </w:r>
      <w:r>
        <w:rPr>
          <w:b/>
          <w:i/>
        </w:rPr>
        <w:t xml:space="preserve"> </w:t>
      </w:r>
      <w:bookmarkEnd w:id="0"/>
      <w:r>
        <w:rPr>
          <w:i/>
        </w:rPr>
        <w:t>prihodi i primici te iz vlastitih prihoda.</w:t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jc w:val="both"/>
        <w:rPr>
          <w:b/>
          <w:b/>
        </w:rPr>
      </w:pPr>
      <w:r>
        <w:rPr>
          <w:b/>
        </w:rPr>
        <w:t>322 – Rashodi za materijal i energiju</w:t>
      </w:r>
    </w:p>
    <w:p>
      <w:pPr>
        <w:pStyle w:val="Normal"/>
        <w:spacing w:lineRule="auto" w:line="360" w:before="0" w:after="0"/>
        <w:jc w:val="both"/>
        <w:rPr/>
      </w:pPr>
      <w:r>
        <w:rPr/>
        <w:t>Planirani rashodi za materijal i energiju odnose se na: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/>
      </w:pPr>
      <w:r>
        <w:rPr>
          <w:rFonts w:ascii="Calibri" w:hAnsi="Calibri"/>
          <w:sz w:val="22"/>
          <w:szCs w:val="22"/>
        </w:rPr>
        <w:t>Uredski materijal, materijal za čišćenje i ostali materijal u iznosu od 16.600 kn,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/>
      </w:pPr>
      <w:r>
        <w:rPr>
          <w:rFonts w:ascii="Calibri" w:hAnsi="Calibri"/>
          <w:sz w:val="22"/>
          <w:szCs w:val="22"/>
        </w:rPr>
        <w:t>Energenti, odnosno električna energija, plin, u iznosu od 37.750,00 kn,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/>
      </w:pPr>
      <w:r>
        <w:rPr>
          <w:rFonts w:ascii="Calibri" w:hAnsi="Calibri"/>
          <w:sz w:val="22"/>
          <w:szCs w:val="22"/>
        </w:rPr>
        <w:t>Sitan inventar, u iznosu od 5.500 kn, većinom zamjena starog i dotrajalog sitnog inventara</w:t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/>
        <w:t xml:space="preserve">Ukupno su planirani rashodi za materijal i energiju u iznosu od </w:t>
      </w:r>
      <w:r>
        <w:rPr>
          <w:b/>
        </w:rPr>
        <w:t>59.850,00</w:t>
      </w:r>
      <w:r>
        <w:rPr/>
        <w:t xml:space="preserve"> </w:t>
      </w:r>
      <w:r>
        <w:rPr>
          <w:b/>
        </w:rPr>
        <w:t>kn</w:t>
      </w:r>
      <w:r>
        <w:rPr/>
        <w:t xml:space="preserve">, </w:t>
      </w:r>
      <w:bookmarkStart w:id="1" w:name="__DdeLink__251_464405667"/>
      <w:r>
        <w:rPr/>
        <w:t>a planirani su iz izvora opći</w:t>
      </w:r>
      <w:r>
        <w:rPr>
          <w:b/>
        </w:rPr>
        <w:t xml:space="preserve"> </w:t>
      </w:r>
      <w:bookmarkEnd w:id="1"/>
      <w:r>
        <w:rPr/>
        <w:t>prihodi i primici te iz vlastitih prihoda.</w:t>
      </w:r>
    </w:p>
    <w:p>
      <w:pPr>
        <w:pStyle w:val="Normal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 w:before="0" w:after="0"/>
        <w:jc w:val="both"/>
        <w:rPr>
          <w:b/>
          <w:b/>
        </w:rPr>
      </w:pPr>
      <w:r>
        <w:rPr>
          <w:b/>
        </w:rPr>
        <w:t>323 – Rashodi za usluge</w:t>
      </w:r>
    </w:p>
    <w:p>
      <w:pPr>
        <w:pStyle w:val="Normal"/>
        <w:spacing w:lineRule="auto" w:line="360" w:before="0" w:after="0"/>
        <w:jc w:val="both"/>
        <w:rPr/>
      </w:pPr>
      <w:r>
        <w:rPr/>
        <w:t>Planirani rashodi za usluge odnose se na: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/>
      </w:pPr>
      <w:r>
        <w:rPr>
          <w:rFonts w:ascii="Calibri" w:hAnsi="Calibri"/>
          <w:sz w:val="22"/>
          <w:szCs w:val="22"/>
        </w:rPr>
        <w:t>Usluge telefona, pošte i prijevoza – usluge se odnose na troškove tri fiksna telefonska broja te dva mobilna broja (ravnateljica, voditeljica muzeja) te poštarine vezane uz poslovno dopisivanje, u iznosu od 14.700,00 kn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Usluge održavanja postrojenja i opreme – radi dotrajalosti istih planirano 5.000 kn 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Usluge promidžbe i informiranja u iznosu od 1.000,00 kn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/>
      </w:pPr>
      <w:r>
        <w:rPr>
          <w:rFonts w:ascii="Calibri" w:hAnsi="Calibri"/>
          <w:sz w:val="22"/>
          <w:szCs w:val="22"/>
        </w:rPr>
        <w:t>Opskrba vodom i druge komunalne usluge u iznosu od 33.500,00 kn,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/>
      </w:pPr>
      <w:r>
        <w:rPr>
          <w:rFonts w:ascii="Calibri" w:hAnsi="Calibri"/>
          <w:sz w:val="22"/>
          <w:szCs w:val="22"/>
        </w:rPr>
        <w:t>Obvezni i preventivni zdravstveni pregled zaposlenika u iznosu od 9.000,00 kn,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/>
      </w:pPr>
      <w:r>
        <w:rPr>
          <w:rFonts w:ascii="Calibri" w:hAnsi="Calibri"/>
          <w:sz w:val="22"/>
          <w:szCs w:val="22"/>
        </w:rPr>
        <w:t>Intelektualne usluge – planirane su intelektualne usluge u iznosu od 3.500 za potrebe  odvjetnika i ostale intelektualne usluge.</w:t>
      </w:r>
    </w:p>
    <w:p>
      <w:pPr>
        <w:pStyle w:val="Normal"/>
        <w:spacing w:lineRule="auto" w:line="360" w:before="0" w:after="0"/>
        <w:ind w:left="360" w:hanging="0"/>
        <w:jc w:val="both"/>
        <w:rPr/>
      </w:pPr>
      <w:r>
        <w:rPr/>
        <w:t>7</w:t>
      </w:r>
      <w:r>
        <w:rPr/>
        <w:t xml:space="preserve">.   Ažuriranje računalnih baza – planirani su troškovi održavanja računalnog programa Libusoft, </w:t>
      </w:r>
    </w:p>
    <w:p>
      <w:pPr>
        <w:pStyle w:val="Normal"/>
        <w:spacing w:lineRule="auto" w:line="360" w:before="0" w:after="0"/>
        <w:ind w:hanging="0"/>
        <w:jc w:val="both"/>
        <w:rPr/>
      </w:pPr>
      <w:r>
        <w:rPr/>
        <w:t>program ZAK-i , ažuriranje web stranice i održavanju računalne opreme, u iznosu od 22.000,00 kn.</w:t>
      </w:r>
    </w:p>
    <w:p>
      <w:pPr>
        <w:pStyle w:val="Normal"/>
        <w:spacing w:lineRule="auto" w:line="360" w:before="0" w:after="0"/>
        <w:ind w:hanging="0"/>
        <w:jc w:val="both"/>
        <w:rPr/>
      </w:pPr>
      <w:r>
        <w:rPr/>
        <w:t xml:space="preserve">        </w:t>
      </w:r>
      <w:r>
        <w:rPr/>
        <w:t>8</w:t>
      </w:r>
      <w:r>
        <w:rPr/>
        <w:t>. Ostale nespomenute usluge u iznosu od 500,00 kn</w:t>
      </w:r>
    </w:p>
    <w:p>
      <w:pPr>
        <w:pStyle w:val="Normal"/>
        <w:spacing w:lineRule="auto" w:line="360" w:before="0" w:after="0"/>
        <w:ind w:left="360" w:hanging="0"/>
        <w:jc w:val="both"/>
        <w:rPr/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/>
        <w:t xml:space="preserve">Ukupni troškovi za usluge planirani su u iznosu od  </w:t>
      </w:r>
      <w:r>
        <w:rPr>
          <w:b/>
          <w:bCs/>
        </w:rPr>
        <w:t>8</w:t>
      </w:r>
      <w:r>
        <w:rPr>
          <w:b/>
          <w:bCs/>
        </w:rPr>
        <w:t>9</w:t>
      </w:r>
      <w:r>
        <w:rPr>
          <w:b/>
          <w:bCs/>
        </w:rPr>
        <w:t>.200,00 k</w:t>
      </w:r>
      <w:r>
        <w:rPr>
          <w:b/>
        </w:rPr>
        <w:t xml:space="preserve">n, </w:t>
      </w:r>
      <w:r>
        <w:rPr>
          <w:b w:val="false"/>
          <w:bCs w:val="false"/>
        </w:rPr>
        <w:t>a planirani su iz izvora opći prihodi i primici te iz vlastitih prihoda.</w:t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jc w:val="both"/>
        <w:rPr>
          <w:b/>
          <w:b/>
        </w:rPr>
      </w:pPr>
      <w:r>
        <w:rPr>
          <w:b/>
        </w:rPr>
        <w:t>329 - Ostali nespomenuti rashodi poslovanja</w:t>
      </w:r>
    </w:p>
    <w:p>
      <w:pPr>
        <w:pStyle w:val="Normal"/>
        <w:spacing w:lineRule="auto" w:line="360" w:before="0" w:after="0"/>
        <w:jc w:val="both"/>
        <w:rPr/>
      </w:pPr>
      <w:r>
        <w:rPr/>
        <w:t xml:space="preserve"> </w:t>
      </w:r>
      <w:r>
        <w:rPr/>
        <w:tab/>
        <w:t>U okviru ostalih nespomenutih rashoda poslovanja planirane su premije osiguranja imovine u iznosu od 5.000,00 kn, reprezentacije u iznosu od 500,00 kn, pristojbe i naknade u iznosu od 2.950,00 kn  te ostalih mogućih nespomenutih rashoda u iznosu od 500,00 kn, tj. u sveukupnom iznosu od</w:t>
      </w:r>
      <w:r>
        <w:rPr>
          <w:b/>
          <w:bCs/>
        </w:rPr>
        <w:t xml:space="preserve"> 8.950,00</w:t>
      </w:r>
      <w:r>
        <w:rPr>
          <w:b/>
        </w:rPr>
        <w:t xml:space="preserve"> </w:t>
      </w:r>
      <w:r>
        <w:rPr>
          <w:b/>
          <w:bCs/>
        </w:rPr>
        <w:t xml:space="preserve">kn. </w:t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/>
        <w:t xml:space="preserve">Ukupni planirani materijalni rashodi iznose </w:t>
      </w:r>
      <w:r>
        <w:rPr>
          <w:b/>
        </w:rPr>
        <w:t>1</w:t>
      </w:r>
      <w:r>
        <w:rPr>
          <w:b/>
        </w:rPr>
        <w:t>78</w:t>
      </w:r>
      <w:r>
        <w:rPr>
          <w:b/>
        </w:rPr>
        <w:t>.540,00 kn,</w:t>
      </w:r>
      <w:r>
        <w:rPr/>
        <w:t xml:space="preserve"> a planirani su iz  izvora opći prihodi i primici te vlastitih prihoda.</w:t>
      </w:r>
    </w:p>
    <w:p>
      <w:pPr>
        <w:pStyle w:val="Normal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 w:before="0" w:after="0"/>
        <w:jc w:val="both"/>
        <w:rPr>
          <w:b/>
          <w:b/>
        </w:rPr>
      </w:pPr>
      <w:r>
        <w:rPr>
          <w:b/>
        </w:rPr>
        <w:t>343 – Ostali financijski rashodi</w:t>
      </w:r>
    </w:p>
    <w:p>
      <w:pPr>
        <w:pStyle w:val="Normal"/>
        <w:spacing w:lineRule="auto" w:line="360" w:before="0" w:after="0"/>
        <w:jc w:val="both"/>
        <w:rPr/>
      </w:pPr>
      <w:r>
        <w:rPr/>
        <w:t xml:space="preserve">Planirani ostali financijski rashodi odnosi se na proviziju za platni promet kod Istarske kreditne banke Umag d.d., te ostale eventualne naknade u iznosu od </w:t>
      </w:r>
      <w:r>
        <w:rPr>
          <w:b/>
        </w:rPr>
        <w:t>2.600,00 kn.</w:t>
      </w:r>
    </w:p>
    <w:p>
      <w:pPr>
        <w:pStyle w:val="Normal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b/>
        </w:rPr>
        <w:t xml:space="preserve">424 –  Nabava nefinancijske imovine -  Knjige, </w:t>
      </w:r>
    </w:p>
    <w:p>
      <w:pPr>
        <w:pStyle w:val="Normal"/>
        <w:spacing w:lineRule="auto" w:line="360" w:before="0" w:after="0"/>
        <w:jc w:val="both"/>
        <w:rPr/>
      </w:pPr>
      <w:r>
        <w:rPr/>
        <w:t>Planirani su troškovi za nabavu:</w:t>
      </w:r>
    </w:p>
    <w:p>
      <w:pPr>
        <w:pStyle w:val="Normal"/>
        <w:spacing w:lineRule="auto" w:line="360" w:before="0" w:after="0"/>
        <w:jc w:val="both"/>
        <w:rPr/>
      </w:pPr>
      <w:r>
        <w:rPr/>
        <w:t xml:space="preserve">Računala i računalna oprema  u iznosu od </w:t>
      </w:r>
      <w:r>
        <w:rPr>
          <w:b/>
          <w:bCs/>
        </w:rPr>
        <w:t>60.000,00</w:t>
      </w:r>
      <w:r>
        <w:rPr/>
        <w:t xml:space="preserve"> kn</w:t>
      </w:r>
    </w:p>
    <w:p>
      <w:pPr>
        <w:pStyle w:val="Normal"/>
        <w:spacing w:lineRule="auto" w:line="360"/>
        <w:jc w:val="both"/>
        <w:rPr/>
      </w:pPr>
      <w:r>
        <w:rPr/>
        <w:t xml:space="preserve">Knjige za gradsku knjižnicu –u iznosu od  </w:t>
      </w:r>
      <w:r>
        <w:rPr>
          <w:b/>
        </w:rPr>
        <w:t>35.000 kn.</w:t>
      </w:r>
    </w:p>
    <w:p>
      <w:pPr>
        <w:pStyle w:val="Normal"/>
        <w:spacing w:lineRule="auto" w:line="360" w:before="0" w:after="0"/>
        <w:jc w:val="both"/>
        <w:rPr/>
      </w:pPr>
      <w:r>
        <w:rPr/>
        <w:t>Izvori za nabavu knjige planirani su iz izvora nefinancijske imovine iz proračuna te iz pomoći.</w:t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/>
        <w:t xml:space="preserve">Ukupni planirani rashodi  za redovnu djelatnost za 2017. godinu iznose </w:t>
      </w:r>
      <w:r>
        <w:rPr>
          <w:b/>
        </w:rPr>
        <w:t>9</w:t>
      </w:r>
      <w:r>
        <w:rPr>
          <w:b/>
        </w:rPr>
        <w:t>27</w:t>
      </w:r>
      <w:r>
        <w:rPr>
          <w:b/>
        </w:rPr>
        <w:t>.470,00</w:t>
      </w:r>
      <w:r>
        <w:rPr/>
        <w:t xml:space="preserve"> </w:t>
      </w:r>
      <w:r>
        <w:rPr>
          <w:b/>
        </w:rPr>
        <w:t xml:space="preserve"> kn,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za nabavu</w:t>
      </w:r>
      <w:r>
        <w:rPr>
          <w:b/>
        </w:rPr>
        <w:t xml:space="preserve"> </w:t>
      </w:r>
      <w:r>
        <w:rPr>
          <w:b w:val="false"/>
          <w:bCs w:val="false"/>
        </w:rPr>
        <w:t>nefinancijsku imovunu</w:t>
      </w:r>
      <w:r>
        <w:rPr>
          <w:b/>
        </w:rPr>
        <w:t xml:space="preserve"> 95.000,00 kn, </w:t>
      </w:r>
      <w:r>
        <w:rPr/>
        <w:t xml:space="preserve">a za  razne druge programe iznos od </w:t>
      </w:r>
      <w:r>
        <w:rPr>
          <w:b/>
        </w:rPr>
        <w:t>1</w:t>
      </w:r>
      <w:r>
        <w:rPr>
          <w:b/>
        </w:rPr>
        <w:t>88</w:t>
      </w:r>
      <w:r>
        <w:rPr>
          <w:b/>
        </w:rPr>
        <w:t>.530,00 kn.</w:t>
      </w:r>
    </w:p>
    <w:p>
      <w:pPr>
        <w:pStyle w:val="Normal"/>
        <w:spacing w:lineRule="auto" w:line="360" w:before="0" w:after="0"/>
        <w:jc w:val="both"/>
        <w:rPr>
          <w:lang w:eastAsia="hr-HR"/>
        </w:rPr>
      </w:pPr>
      <w:r>
        <w:rPr>
          <w:lang w:eastAsia="hr-HR"/>
        </w:rPr>
      </w:r>
    </w:p>
    <w:p>
      <w:pPr>
        <w:pStyle w:val="Normal"/>
        <w:spacing w:lineRule="auto" w:line="360" w:before="0" w:after="0"/>
        <w:jc w:val="both"/>
        <w:rPr>
          <w:lang w:eastAsia="hr-HR"/>
        </w:rPr>
      </w:pPr>
      <w:r>
        <w:rPr>
          <w:lang w:eastAsia="hr-HR"/>
        </w:rPr>
      </w:r>
    </w:p>
    <w:p>
      <w:pPr>
        <w:pStyle w:val="Normal"/>
        <w:spacing w:lineRule="auto" w:line="360" w:before="0" w:after="0"/>
        <w:jc w:val="both"/>
        <w:rPr>
          <w:lang w:eastAsia="hr-HR"/>
        </w:rPr>
      </w:pPr>
      <w:r>
        <w:rPr>
          <w:lang w:eastAsia="hr-HR"/>
        </w:rPr>
      </w:r>
    </w:p>
    <w:p>
      <w:pPr>
        <w:pStyle w:val="Normal"/>
        <w:spacing w:lineRule="auto" w:line="360" w:before="0" w:after="0"/>
        <w:jc w:val="both"/>
        <w:rPr>
          <w:lang w:eastAsia="hr-HR"/>
        </w:rPr>
      </w:pPr>
      <w:r>
        <w:rPr>
          <w:lang w:eastAsia="hr-HR"/>
        </w:rPr>
      </w:r>
    </w:p>
    <w:p>
      <w:pPr>
        <w:pStyle w:val="Normal"/>
        <w:spacing w:lineRule="auto" w:line="360" w:before="0" w:after="0"/>
        <w:jc w:val="both"/>
        <w:rPr>
          <w:lang w:eastAsia="hr-HR"/>
        </w:rPr>
      </w:pPr>
      <w:r>
        <w:rPr>
          <w:lang w:eastAsia="hr-HR"/>
        </w:rPr>
      </w:r>
    </w:p>
    <w:p>
      <w:pPr>
        <w:pStyle w:val="Normal"/>
        <w:spacing w:lineRule="auto" w:line="360" w:before="0" w:after="0"/>
        <w:jc w:val="both"/>
        <w:rPr>
          <w:lang w:eastAsia="hr-HR"/>
        </w:rPr>
      </w:pPr>
      <w:r>
        <w:rPr>
          <w:lang w:eastAsia="hr-HR"/>
        </w:rPr>
      </w:r>
    </w:p>
    <w:p>
      <w:pPr>
        <w:pStyle w:val="Normal"/>
        <w:spacing w:lineRule="auto" w:line="360" w:before="0" w:after="0"/>
        <w:jc w:val="both"/>
        <w:rPr>
          <w:lang w:eastAsia="hr-HR"/>
        </w:rPr>
      </w:pPr>
      <w:r>
        <w:rPr>
          <w:lang w:eastAsia="hr-HR"/>
        </w:rPr>
      </w:r>
    </w:p>
    <w:p>
      <w:pPr>
        <w:pStyle w:val="Normal"/>
        <w:spacing w:lineRule="auto" w:line="360" w:before="0" w:after="0"/>
        <w:jc w:val="both"/>
        <w:rPr>
          <w:lang w:eastAsia="hr-HR"/>
        </w:rPr>
      </w:pPr>
      <w:r>
        <w:rPr>
          <w:lang w:eastAsia="hr-HR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lang w:eastAsia="hr-HR"/>
        </w:rPr>
        <w:t>Financijski plan Pučkog otvorenog učilišta obuhvaća predviđanja odnosno plan prihoda i rashoda za Učilište, odnosno sredstva za aktivnosti</w:t>
      </w:r>
      <w:r>
        <w:rPr>
          <w:i/>
          <w:lang w:eastAsia="hr-HR"/>
        </w:rPr>
        <w:t xml:space="preserve"> kulturnih </w:t>
      </w:r>
      <w:r>
        <w:rPr>
          <w:lang w:eastAsia="hr-HR"/>
        </w:rPr>
        <w:t xml:space="preserve">djelatnosti i obrazovanja sukladno programima rada. Treba napomenuti da će Pučko otvoreno učilište, u prilogu ovog obrazloženja, dostaviti prijedloge svih programa i projekata koje planira realizirati u narednoj godini. </w:t>
      </w:r>
    </w:p>
    <w:p>
      <w:pPr>
        <w:pStyle w:val="Normal"/>
        <w:spacing w:lineRule="auto" w:line="360" w:before="0" w:after="0"/>
        <w:ind w:firstLine="708"/>
        <w:jc w:val="both"/>
        <w:rPr>
          <w:lang w:eastAsia="hr-HR"/>
        </w:rPr>
      </w:pPr>
      <w:r>
        <w:rPr>
          <w:lang w:eastAsia="hr-HR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lang w:eastAsia="hr-HR"/>
        </w:rPr>
        <w:t xml:space="preserve">Ukupan prijedlog financijskog plana za Učilište iznosi </w:t>
      </w:r>
      <w:r>
        <w:rPr>
          <w:b/>
          <w:lang w:eastAsia="hr-HR"/>
        </w:rPr>
        <w:t>1.</w:t>
      </w:r>
      <w:r>
        <w:rPr>
          <w:b/>
          <w:lang w:eastAsia="hr-HR"/>
        </w:rPr>
        <w:t>211</w:t>
      </w:r>
      <w:r>
        <w:rPr>
          <w:b/>
          <w:lang w:eastAsia="hr-HR"/>
        </w:rPr>
        <w:t>.000,00 kn,</w:t>
      </w:r>
      <w:r>
        <w:rPr>
          <w:lang w:eastAsia="hr-HR"/>
        </w:rPr>
        <w:t xml:space="preserve"> od kojih će se iz sredstava proračuna Grada Buja osigurati </w:t>
      </w:r>
      <w:r>
        <w:rPr>
          <w:b/>
          <w:bCs/>
          <w:lang w:eastAsia="hr-HR"/>
        </w:rPr>
        <w:t>1.059.000,00</w:t>
      </w:r>
      <w:r>
        <w:rPr>
          <w:b/>
          <w:lang w:eastAsia="hr-HR"/>
        </w:rPr>
        <w:t xml:space="preserve"> kn,</w:t>
      </w:r>
      <w:r>
        <w:rPr>
          <w:lang w:eastAsia="hr-HR"/>
        </w:rPr>
        <w:t xml:space="preserve"> iz sredstava od obavljanja vlastite djelatnosti </w:t>
      </w:r>
      <w:r>
        <w:rPr>
          <w:b/>
          <w:bCs/>
          <w:lang w:eastAsia="hr-HR"/>
        </w:rPr>
        <w:t>10</w:t>
      </w:r>
      <w:r>
        <w:rPr>
          <w:b/>
          <w:bCs/>
          <w:lang w:eastAsia="hr-HR"/>
        </w:rPr>
        <w:t>9</w:t>
      </w:r>
      <w:r>
        <w:rPr>
          <w:b/>
          <w:bCs/>
          <w:lang w:eastAsia="hr-HR"/>
        </w:rPr>
        <w:t>.000,00</w:t>
      </w:r>
      <w:r>
        <w:rPr>
          <w:b/>
          <w:lang w:eastAsia="hr-HR"/>
        </w:rPr>
        <w:t xml:space="preserve"> kn,</w:t>
      </w:r>
      <w:r>
        <w:rPr>
          <w:lang w:eastAsia="hr-HR"/>
        </w:rPr>
        <w:t xml:space="preserve"> pomoći iz proračuna  Ministarstva kulture </w:t>
      </w:r>
      <w:r>
        <w:rPr>
          <w:b/>
          <w:lang w:eastAsia="hr-HR"/>
        </w:rPr>
        <w:t>25.000,00 kn</w:t>
      </w:r>
      <w:r>
        <w:rPr>
          <w:lang w:eastAsia="hr-HR"/>
        </w:rPr>
        <w:t xml:space="preserve">, Istarske županije </w:t>
      </w:r>
      <w:r>
        <w:rPr>
          <w:b/>
          <w:lang w:eastAsia="hr-HR"/>
        </w:rPr>
        <w:t>15.000,00 kn</w:t>
      </w:r>
      <w:r>
        <w:rPr>
          <w:lang w:eastAsia="hr-HR"/>
        </w:rPr>
        <w:t>, a iz drugih subjekata 3</w:t>
      </w:r>
      <w:r>
        <w:rPr>
          <w:b/>
          <w:lang w:eastAsia="hr-HR"/>
        </w:rPr>
        <w:t>.000,00kn</w:t>
      </w:r>
    </w:p>
    <w:p>
      <w:pPr>
        <w:pStyle w:val="Normal"/>
        <w:spacing w:lineRule="auto" w:line="360" w:before="0" w:after="0"/>
        <w:ind w:firstLine="708"/>
        <w:jc w:val="both"/>
        <w:rPr>
          <w:lang w:eastAsia="hr-HR"/>
        </w:rPr>
      </w:pPr>
      <w:r>
        <w:rPr>
          <w:lang w:eastAsia="hr-HR"/>
        </w:rPr>
      </w:r>
    </w:p>
    <w:p>
      <w:pPr>
        <w:pStyle w:val="Normal"/>
        <w:spacing w:lineRule="auto" w:line="360" w:before="0" w:after="0"/>
        <w:jc w:val="both"/>
        <w:rPr>
          <w:b/>
          <w:b/>
          <w:i/>
          <w:i/>
          <w:lang w:eastAsia="hr-HR"/>
        </w:rPr>
      </w:pPr>
      <w:r>
        <w:rPr>
          <w:b/>
          <w:i/>
          <w:lang w:eastAsia="hr-HR"/>
        </w:rPr>
        <w:t>1. Financiranje redovne djelatnosti (plaće djelatnika i materijalni rashodi)</w:t>
      </w:r>
    </w:p>
    <w:p>
      <w:pPr>
        <w:pStyle w:val="Normal"/>
        <w:spacing w:lineRule="auto" w:line="360" w:before="0" w:after="0"/>
        <w:jc w:val="both"/>
        <w:rPr/>
      </w:pPr>
      <w:r>
        <w:rPr>
          <w:lang w:eastAsia="hr-HR"/>
        </w:rPr>
        <w:t xml:space="preserve">Redovna djelatnost Učilišta, izuzmemo li projekte i programe o kulturnih djelatnosti i pokriva troškove za plaće djelatnika, troškove prijevoza na posao i s posla, ostale rashode za zaposlene te materijalne troškove energije, potrošnje vode, telefona, poštarine, uredskog materijala i dr. </w:t>
      </w:r>
    </w:p>
    <w:p>
      <w:pPr>
        <w:pStyle w:val="Normal"/>
        <w:spacing w:lineRule="auto" w:line="360" w:before="0" w:after="0"/>
        <w:jc w:val="both"/>
        <w:rPr/>
      </w:pPr>
      <w:r>
        <w:rPr>
          <w:lang w:eastAsia="hr-HR"/>
        </w:rPr>
        <w:t>U Učilištu je trenutno zaposleno četiri osoba, i to: v.d. ravnateljica, Stručni suradnik - knjižničar, Voditelj računovodstva-administrator te kućni majstor-ložač-scenski tehničar , dvije osobe zaposlit će se krajem ove godine i to ravnatelj i spremačica. Sredstva za plaće djelatnika osiguravaju se u proračunu Grada Buja, te dio prekovremenog rada od vlastitih prihoda.</w:t>
      </w:r>
    </w:p>
    <w:p>
      <w:pPr>
        <w:pStyle w:val="Normal"/>
        <w:spacing w:lineRule="auto" w:line="360" w:before="0" w:after="0"/>
        <w:jc w:val="both"/>
        <w:rPr/>
      </w:pPr>
      <w:r>
        <w:rPr>
          <w:lang w:eastAsia="hr-HR"/>
        </w:rPr>
        <w:t>Prijedlogom ovog plana, sredstva za plaće djelatnika se, u odnosu na tekuću godinu, povećavaju za</w:t>
      </w:r>
      <w:r>
        <w:rPr>
          <w:highlight w:val="yellow"/>
          <w:lang w:eastAsia="hr-HR"/>
        </w:rPr>
        <w:t xml:space="preserve"> </w:t>
      </w:r>
      <w:r>
        <w:rPr>
          <w:lang w:eastAsia="hr-HR"/>
        </w:rPr>
        <w:t xml:space="preserve"> iznose minulog rada djelatnika.  </w:t>
      </w:r>
    </w:p>
    <w:p>
      <w:pPr>
        <w:pStyle w:val="Normal"/>
        <w:spacing w:lineRule="auto" w:line="360" w:before="0" w:after="0"/>
        <w:jc w:val="both"/>
        <w:rPr>
          <w:b/>
          <w:b/>
          <w:i/>
          <w:i/>
          <w:highlight w:val="yellow"/>
          <w:lang w:eastAsia="hr-HR"/>
        </w:rPr>
      </w:pPr>
      <w:r>
        <w:rPr>
          <w:b/>
          <w:i/>
          <w:highlight w:val="yellow"/>
          <w:lang w:eastAsia="hr-HR"/>
        </w:rPr>
      </w:r>
    </w:p>
    <w:p>
      <w:pPr>
        <w:pStyle w:val="Normal"/>
        <w:spacing w:lineRule="auto" w:line="360" w:before="0" w:after="0"/>
        <w:jc w:val="both"/>
        <w:rPr>
          <w:b/>
          <w:b/>
          <w:i/>
          <w:i/>
          <w:highlight w:val="yellow"/>
          <w:lang w:eastAsia="hr-HR"/>
        </w:rPr>
      </w:pPr>
      <w:r>
        <w:rPr>
          <w:b/>
          <w:i/>
          <w:highlight w:val="yellow"/>
          <w:lang w:eastAsia="hr-HR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b/>
          <w:i/>
          <w:lang w:eastAsia="hr-HR"/>
        </w:rPr>
        <w:t>2. Pučko otvoreno učilište - Financiranje odjela kulturnih djelatnosti i obrazovanja</w:t>
      </w:r>
    </w:p>
    <w:p>
      <w:pPr>
        <w:pStyle w:val="Normal"/>
        <w:spacing w:lineRule="auto" w:line="360" w:before="0" w:after="0"/>
        <w:jc w:val="both"/>
        <w:rPr/>
      </w:pPr>
      <w:r>
        <w:rPr/>
        <w:t>Pod Planom obrazovno-kulturnih edukacija podrazumjevaju se aktivnosti koje se odvijaju u prostorima Pučkog otvorenog učilišta Buje, knjižnice, muzeja i galerije, a u organizaciji su i pod vodstvom Pučkog otvorenog učilišta.</w:t>
      </w:r>
    </w:p>
    <w:p>
      <w:pPr>
        <w:pStyle w:val="Normal"/>
        <w:spacing w:lineRule="auto" w:line="360" w:before="0" w:after="0"/>
        <w:jc w:val="both"/>
        <w:rPr/>
      </w:pPr>
      <w:r>
        <w:rPr>
          <w:lang w:eastAsia="hr-HR"/>
        </w:rPr>
        <w:t xml:space="preserve">Financiranje djelatnosti kulture podijeljeno je u dva dijela: redovna programska djelatnost koja obuhvaća glazbeno-scensku i galerijsko-izložbenu djelatnost se odvija tijekom cijele godine te manifestacije koje imaju jasno definiran termin početka i kraja. Sukladno tome izrađen je </w:t>
      </w:r>
      <w:r>
        <w:rPr>
          <w:b/>
          <w:lang w:eastAsia="hr-HR"/>
        </w:rPr>
        <w:t xml:space="preserve">tekstualni dio programa rada </w:t>
      </w:r>
      <w:r>
        <w:rPr>
          <w:lang w:eastAsia="hr-HR"/>
        </w:rPr>
        <w:t xml:space="preserve">u kome su točno navedeni svi projekti koje će Učilište realizirati u sljedećoj godini. </w:t>
      </w:r>
    </w:p>
    <w:p>
      <w:pPr>
        <w:pStyle w:val="Normal"/>
        <w:spacing w:lineRule="auto" w:line="360" w:before="0" w:after="0"/>
        <w:ind w:firstLine="708"/>
        <w:jc w:val="both"/>
        <w:rPr>
          <w:lang w:eastAsia="hr-HR"/>
        </w:rPr>
      </w:pPr>
      <w:r>
        <w:rPr>
          <w:lang w:eastAsia="hr-HR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highlight w:val="white"/>
          <w:lang w:eastAsia="hr-HR"/>
        </w:rPr>
        <w:t xml:space="preserve">   </w:t>
      </w:r>
      <w:r>
        <w:rPr>
          <w:highlight w:val="white"/>
          <w:lang w:eastAsia="hr-HR"/>
        </w:rPr>
        <w:t>Za realizaciju planiranih aktivnosti u okviru redovne programske djelatnosti Učilišta planira se utrošiti 144.530,00 kn. I to 59.400,00 kn planiramo uprihodovati iz proračuna Grada Buja, iz izvora općih prihoda i primitaka, 62.130,00 kn iz vlastitih izvora,  20.000,00 kn iz pomoći  te iz donacije 3.000,00 kn.</w:t>
      </w:r>
    </w:p>
    <w:p>
      <w:pPr>
        <w:pStyle w:val="Normal"/>
        <w:spacing w:lineRule="auto" w:line="360" w:before="0" w:after="0"/>
        <w:jc w:val="both"/>
        <w:rPr/>
      </w:pPr>
      <w:r>
        <w:rPr>
          <w:highlight w:val="white"/>
          <w:lang w:eastAsia="hr-HR"/>
        </w:rPr>
        <w:t>PLANIRANE AKTIVNOSTI:</w:t>
      </w:r>
    </w:p>
    <w:tbl>
      <w:tblPr>
        <w:tblW w:w="9072" w:type="dxa"/>
        <w:jc w:val="left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</w:tblPr>
      <w:tblGrid>
        <w:gridCol w:w="2160"/>
        <w:gridCol w:w="1349"/>
        <w:gridCol w:w="1756"/>
        <w:gridCol w:w="1304"/>
        <w:gridCol w:w="1367"/>
        <w:gridCol w:w="1135"/>
      </w:tblGrid>
      <w:tr>
        <w:trPr/>
        <w:tc>
          <w:tcPr>
            <w:tcW w:w="2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adrajitablice"/>
              <w:spacing w:before="0" w:after="160"/>
              <w:rPr/>
            </w:pPr>
            <w:r>
              <w:rPr/>
              <w:t>NAZIV AKTIVNOSTI</w:t>
            </w:r>
          </w:p>
        </w:tc>
        <w:tc>
          <w:tcPr>
            <w:tcW w:w="13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adrajitablice"/>
              <w:spacing w:before="0" w:after="160"/>
              <w:rPr/>
            </w:pPr>
            <w:r>
              <w:rPr/>
              <w:t>UKUPNO PLANIRANA SREDSTVA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adrajitablice"/>
              <w:spacing w:before="0" w:after="160"/>
              <w:rPr/>
            </w:pPr>
            <w:r>
              <w:rPr/>
              <w:t>IZVOR OPĆI PRIHODI I PRIMICI</w:t>
            </w: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adrajitablice"/>
              <w:spacing w:before="0" w:after="160"/>
              <w:rPr/>
            </w:pPr>
            <w:r>
              <w:rPr/>
              <w:t>IZVOR VLASTITI PRIHODI</w:t>
            </w:r>
          </w:p>
        </w:tc>
        <w:tc>
          <w:tcPr>
            <w:tcW w:w="13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adrajitablice"/>
              <w:spacing w:before="0" w:after="160"/>
              <w:rPr/>
            </w:pPr>
            <w:r>
              <w:rPr/>
              <w:t>IZVOR DONACIJE</w:t>
            </w: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adrajitablice"/>
              <w:spacing w:before="0" w:after="160"/>
              <w:rPr/>
            </w:pPr>
            <w:r>
              <w:rPr/>
              <w:t>IZVOR POMOĆI</w:t>
            </w:r>
          </w:p>
        </w:tc>
      </w:tr>
      <w:tr>
        <w:trPr/>
        <w:tc>
          <w:tcPr>
            <w:tcW w:w="2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adrajitablice"/>
              <w:spacing w:before="0" w:after="160"/>
              <w:rPr/>
            </w:pPr>
            <w:r>
              <w:rPr/>
              <w:t>PROGRAM U KNJIŽNICI</w:t>
            </w:r>
          </w:p>
        </w:tc>
        <w:tc>
          <w:tcPr>
            <w:tcW w:w="13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adrajitablice"/>
              <w:spacing w:before="0" w:after="160"/>
              <w:jc w:val="right"/>
              <w:rPr/>
            </w:pPr>
            <w:r>
              <w:rPr/>
              <w:t>9.100,00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adrajitablice"/>
              <w:spacing w:before="0" w:after="160"/>
              <w:jc w:val="right"/>
              <w:rPr/>
            </w:pPr>
            <w:r>
              <w:rPr/>
              <w:t>5.000,00</w:t>
            </w: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adrajitablice"/>
              <w:spacing w:before="0" w:after="160"/>
              <w:jc w:val="right"/>
              <w:rPr/>
            </w:pPr>
            <w:r>
              <w:rPr/>
              <w:t>4.100,00</w:t>
            </w:r>
          </w:p>
        </w:tc>
        <w:tc>
          <w:tcPr>
            <w:tcW w:w="13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adrajitablice"/>
              <w:spacing w:before="0" w:after="160"/>
              <w:jc w:val="right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adrajitablice"/>
              <w:spacing w:before="0" w:after="160"/>
              <w:jc w:val="right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adrajitablice"/>
              <w:spacing w:before="0" w:after="160"/>
              <w:rPr/>
            </w:pPr>
            <w:r>
              <w:rPr/>
              <w:t>LIKOVNA  DJELATNOST</w:t>
            </w:r>
          </w:p>
        </w:tc>
        <w:tc>
          <w:tcPr>
            <w:tcW w:w="13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adrajitablice"/>
              <w:spacing w:before="0" w:after="160"/>
              <w:jc w:val="right"/>
              <w:rPr/>
            </w:pPr>
            <w:r>
              <w:rPr/>
              <w:t>8.100,00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adrajitablice"/>
              <w:spacing w:before="0" w:after="160"/>
              <w:jc w:val="right"/>
              <w:rPr/>
            </w:pPr>
            <w:r>
              <w:rPr/>
              <w:t>3.600,00</w:t>
            </w: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adrajitablice"/>
              <w:spacing w:before="0" w:after="160"/>
              <w:jc w:val="right"/>
              <w:rPr/>
            </w:pPr>
            <w:r>
              <w:rPr/>
              <w:t>1.500,00</w:t>
            </w:r>
          </w:p>
        </w:tc>
        <w:tc>
          <w:tcPr>
            <w:tcW w:w="13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adrajitablice"/>
              <w:spacing w:before="0" w:after="160"/>
              <w:jc w:val="right"/>
              <w:rPr/>
            </w:pPr>
            <w:r>
              <w:rPr/>
              <w:t>3.000,00</w:t>
            </w: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adrajitablice"/>
              <w:spacing w:before="0" w:after="160"/>
              <w:jc w:val="right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adrajitablice"/>
              <w:spacing w:before="0" w:after="160"/>
              <w:rPr/>
            </w:pPr>
            <w:r>
              <w:rPr/>
              <w:t>IZLOŽBE</w:t>
            </w:r>
          </w:p>
        </w:tc>
        <w:tc>
          <w:tcPr>
            <w:tcW w:w="13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adrajitablice"/>
              <w:spacing w:before="0" w:after="160"/>
              <w:jc w:val="right"/>
              <w:rPr/>
            </w:pPr>
            <w:r>
              <w:rPr/>
              <w:t>12.500,00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adrajitablice"/>
              <w:spacing w:before="0" w:after="160"/>
              <w:jc w:val="right"/>
              <w:rPr/>
            </w:pPr>
            <w:r>
              <w:rPr/>
              <w:t>12.500,00</w:t>
            </w: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adrajitablice"/>
              <w:spacing w:before="0" w:after="160"/>
              <w:jc w:val="right"/>
              <w:rPr/>
            </w:pPr>
            <w:r>
              <w:rPr/>
            </w:r>
          </w:p>
        </w:tc>
        <w:tc>
          <w:tcPr>
            <w:tcW w:w="13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adrajitablice"/>
              <w:spacing w:before="0" w:after="160"/>
              <w:jc w:val="right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adrajitablice"/>
              <w:spacing w:before="0" w:after="160"/>
              <w:jc w:val="right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adrajitablice"/>
              <w:spacing w:before="0" w:after="160"/>
              <w:rPr/>
            </w:pPr>
            <w:r>
              <w:rPr/>
              <w:t>GLAZBENO SCENSKA DJELATNOST</w:t>
            </w:r>
          </w:p>
        </w:tc>
        <w:tc>
          <w:tcPr>
            <w:tcW w:w="13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adrajitablice"/>
              <w:spacing w:before="0" w:after="160"/>
              <w:jc w:val="right"/>
              <w:rPr/>
            </w:pPr>
            <w:r>
              <w:rPr/>
              <w:t>33.700,00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adrajitablice"/>
              <w:spacing w:before="0" w:after="160"/>
              <w:jc w:val="right"/>
              <w:rPr/>
            </w:pPr>
            <w:r>
              <w:rPr/>
              <w:t>19.700,00</w:t>
            </w: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adrajitablice"/>
              <w:spacing w:before="0" w:after="160"/>
              <w:jc w:val="right"/>
              <w:rPr/>
            </w:pPr>
            <w:r>
              <w:rPr/>
              <w:t>4.000,00</w:t>
            </w:r>
          </w:p>
        </w:tc>
        <w:tc>
          <w:tcPr>
            <w:tcW w:w="13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adrajitablice"/>
              <w:spacing w:before="0" w:after="160"/>
              <w:jc w:val="right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adrajitablice"/>
              <w:spacing w:before="0" w:after="160"/>
              <w:jc w:val="right"/>
              <w:rPr/>
            </w:pPr>
            <w:r>
              <w:rPr/>
              <w:t>10.000,00</w:t>
            </w:r>
          </w:p>
        </w:tc>
      </w:tr>
      <w:tr>
        <w:trPr/>
        <w:tc>
          <w:tcPr>
            <w:tcW w:w="2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adrajitablice"/>
              <w:spacing w:before="0" w:after="160"/>
              <w:rPr/>
            </w:pPr>
            <w:r>
              <w:rPr/>
              <w:t>PRIGODNE MANIFESTACIJE</w:t>
            </w:r>
          </w:p>
        </w:tc>
        <w:tc>
          <w:tcPr>
            <w:tcW w:w="13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adrajitablice"/>
              <w:spacing w:before="0" w:after="160"/>
              <w:jc w:val="right"/>
              <w:rPr/>
            </w:pPr>
            <w:r>
              <w:rPr/>
              <w:t>27.600,00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adrajitablice"/>
              <w:spacing w:before="0" w:after="160"/>
              <w:jc w:val="right"/>
              <w:rPr/>
            </w:pPr>
            <w:r>
              <w:rPr/>
              <w:t>15.600,00</w:t>
            </w: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adrajitablice"/>
              <w:spacing w:before="0" w:after="160"/>
              <w:jc w:val="right"/>
              <w:rPr/>
            </w:pPr>
            <w:r>
              <w:rPr/>
              <w:t>12.000,00</w:t>
            </w:r>
          </w:p>
        </w:tc>
        <w:tc>
          <w:tcPr>
            <w:tcW w:w="13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adrajitablice"/>
              <w:spacing w:before="0" w:after="160"/>
              <w:jc w:val="right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adrajitablice"/>
              <w:spacing w:before="0" w:after="160"/>
              <w:jc w:val="right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adrajitablice"/>
              <w:spacing w:before="0" w:after="160"/>
              <w:rPr/>
            </w:pPr>
            <w:r>
              <w:rPr/>
              <w:t>RADIONICE I TEČAJEVI</w:t>
            </w:r>
          </w:p>
        </w:tc>
        <w:tc>
          <w:tcPr>
            <w:tcW w:w="13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adrajitablice"/>
              <w:spacing w:before="0" w:after="160"/>
              <w:jc w:val="right"/>
              <w:rPr/>
            </w:pPr>
            <w:r>
              <w:rPr/>
              <w:t>84</w:t>
            </w:r>
            <w:r>
              <w:rPr/>
              <w:t>.530,00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adrajitablice"/>
              <w:spacing w:before="0" w:after="160"/>
              <w:jc w:val="right"/>
              <w:rPr/>
            </w:pPr>
            <w:r>
              <w:rPr/>
              <w:t>27.000,00</w:t>
            </w: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adrajitablice"/>
              <w:spacing w:before="0" w:after="160"/>
              <w:jc w:val="right"/>
              <w:rPr/>
            </w:pPr>
            <w:r>
              <w:rPr/>
              <w:t>57</w:t>
            </w:r>
            <w:r>
              <w:rPr/>
              <w:t>.530,00</w:t>
            </w:r>
          </w:p>
        </w:tc>
        <w:tc>
          <w:tcPr>
            <w:tcW w:w="13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adrajitablice"/>
              <w:spacing w:before="0" w:after="160"/>
              <w:jc w:val="right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adrajitablice"/>
              <w:spacing w:before="0" w:after="160"/>
              <w:jc w:val="right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adrajitablice"/>
              <w:spacing w:before="0" w:after="160"/>
              <w:rPr/>
            </w:pPr>
            <w:r>
              <w:rPr/>
              <w:t>MUZEJ</w:t>
            </w:r>
          </w:p>
        </w:tc>
        <w:tc>
          <w:tcPr>
            <w:tcW w:w="13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adrajitablice"/>
              <w:spacing w:before="0" w:after="160"/>
              <w:jc w:val="right"/>
              <w:rPr/>
            </w:pPr>
            <w:r>
              <w:rPr/>
              <w:t>3.000,00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adrajitablice"/>
              <w:spacing w:before="0" w:after="160"/>
              <w:jc w:val="right"/>
              <w:rPr/>
            </w:pPr>
            <w:r>
              <w:rPr/>
              <w:t>3.000,00</w:t>
            </w: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adrajitablice"/>
              <w:spacing w:before="0" w:after="160"/>
              <w:jc w:val="right"/>
              <w:rPr/>
            </w:pPr>
            <w:r>
              <w:rPr/>
            </w:r>
          </w:p>
        </w:tc>
        <w:tc>
          <w:tcPr>
            <w:tcW w:w="13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adrajitablice"/>
              <w:spacing w:before="0" w:after="160"/>
              <w:jc w:val="right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adrajitablice"/>
              <w:spacing w:before="0" w:after="160"/>
              <w:jc w:val="right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adrajitablice"/>
              <w:spacing w:before="0" w:after="160"/>
              <w:rPr/>
            </w:pPr>
            <w:r>
              <w:rPr/>
              <w:t>VALORIZACIJA I PROMOVIRANJE KAŠTEL ROTA</w:t>
            </w:r>
          </w:p>
        </w:tc>
        <w:tc>
          <w:tcPr>
            <w:tcW w:w="13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adrajitablice"/>
              <w:spacing w:before="0" w:after="160"/>
              <w:jc w:val="right"/>
              <w:rPr/>
            </w:pPr>
            <w:r>
              <w:rPr/>
              <w:t>10.000,00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adrajitablice"/>
              <w:spacing w:before="0" w:after="160"/>
              <w:jc w:val="right"/>
              <w:rPr/>
            </w:pPr>
            <w:r>
              <w:rPr/>
            </w: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adrajitablice"/>
              <w:spacing w:before="0" w:after="160"/>
              <w:jc w:val="right"/>
              <w:rPr/>
            </w:pPr>
            <w:r>
              <w:rPr/>
            </w:r>
          </w:p>
        </w:tc>
        <w:tc>
          <w:tcPr>
            <w:tcW w:w="13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adrajitablice"/>
              <w:spacing w:before="0" w:after="160"/>
              <w:jc w:val="right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adrajitablice"/>
              <w:spacing w:before="0" w:after="160"/>
              <w:jc w:val="right"/>
              <w:rPr/>
            </w:pPr>
            <w:r>
              <w:rPr/>
              <w:t>10.000,00</w:t>
            </w:r>
          </w:p>
        </w:tc>
      </w:tr>
    </w:tbl>
    <w:p>
      <w:pPr>
        <w:pStyle w:val="Normal"/>
        <w:spacing w:lineRule="auto" w:line="360" w:before="0" w:after="0"/>
        <w:jc w:val="both"/>
        <w:rPr>
          <w:highlight w:val="white"/>
          <w:lang w:eastAsia="hr-HR"/>
        </w:rPr>
      </w:pPr>
      <w:r>
        <w:rPr>
          <w:highlight w:val="white"/>
          <w:lang w:eastAsia="hr-HR"/>
        </w:rPr>
      </w:r>
    </w:p>
    <w:p>
      <w:pPr>
        <w:pStyle w:val="Normal"/>
        <w:spacing w:lineRule="auto" w:line="360" w:before="0" w:after="0"/>
        <w:jc w:val="both"/>
        <w:rPr>
          <w:lang w:eastAsia="hr-HR"/>
        </w:rPr>
      </w:pPr>
      <w:r>
        <w:rPr>
          <w:lang w:eastAsia="hr-HR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b/>
          <w:i/>
          <w:lang w:eastAsia="hr-HR"/>
        </w:rPr>
        <w:t xml:space="preserve">                                                                                                            </w:t>
      </w:r>
      <w:r>
        <w:rPr>
          <w:b/>
          <w:i/>
          <w:lang w:eastAsia="hr-HR"/>
        </w:rPr>
        <w:t>v.d.  Ravnateljica</w:t>
      </w:r>
    </w:p>
    <w:p>
      <w:pPr>
        <w:pStyle w:val="Normal"/>
        <w:spacing w:lineRule="auto" w:line="360" w:before="0" w:after="0"/>
        <w:ind w:firstLine="708"/>
        <w:jc w:val="both"/>
        <w:rPr>
          <w:lang w:eastAsia="hr-HR"/>
        </w:rPr>
      </w:pPr>
      <w:r>
        <w:rPr>
          <w:lang w:eastAsia="hr-HR"/>
        </w:rPr>
        <w:t xml:space="preserve">                                                                                              </w:t>
      </w:r>
      <w:r>
        <w:rPr>
          <w:lang w:eastAsia="hr-HR"/>
        </w:rPr>
        <w:t>Tanja Šuflaj</w:t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/>
        <w:t>U prilogu:</w:t>
      </w:r>
    </w:p>
    <w:p>
      <w:pPr>
        <w:pStyle w:val="Normal"/>
        <w:spacing w:lineRule="auto" w:line="360" w:before="0" w:after="0"/>
        <w:jc w:val="both"/>
        <w:rPr/>
      </w:pPr>
      <w:r>
        <w:rPr/>
        <w:t>Tekstualni dio programa rada Učilišta i  Podružnice.</w:t>
      </w:r>
    </w:p>
    <w:p>
      <w:pPr>
        <w:pStyle w:val="Normal"/>
        <w:spacing w:lineRule="auto" w:line="360" w:before="0" w:after="0"/>
        <w:rPr/>
      </w:pPr>
      <w:r>
        <w:rPr/>
      </w:r>
    </w:p>
    <w:p>
      <w:pPr>
        <w:pStyle w:val="Normal"/>
        <w:spacing w:lineRule="auto" w:line="360" w:before="0" w:after="0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spacing w:lineRule="auto" w:line="360" w:before="0" w:after="0"/>
        <w:rPr/>
      </w:pPr>
      <w:r>
        <w:rPr/>
        <w:t xml:space="preserve">                                                                                              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lang w:eastAsia="hr-HR"/>
        </w:rPr>
        <w:tab/>
        <w:tab/>
        <w:tab/>
        <w:t xml:space="preserve">                 </w:t>
        <w:tab/>
        <w:tab/>
        <w:t xml:space="preserve">                                             </w:t>
        <w:tab/>
        <w:t xml:space="preserve">    </w:t>
        <w:tab/>
        <w:tab/>
        <w:tab/>
        <w:tab/>
        <w:tab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  <w:b/>
        <w:rFonts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hr-H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overflowPunct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00000A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ListLabel1" w:customStyle="1">
    <w:name w:val="ListLabel 1"/>
    <w:uiPriority w:val="99"/>
    <w:qFormat/>
    <w:rsid w:val="007639b7"/>
    <w:rPr>
      <w:rFonts w:eastAsia="Times New Roman"/>
    </w:rPr>
  </w:style>
  <w:style w:type="character" w:styleId="ListLabel2" w:customStyle="1">
    <w:name w:val="ListLabel 2"/>
    <w:uiPriority w:val="99"/>
    <w:qFormat/>
    <w:rsid w:val="007639b7"/>
    <w:rPr/>
  </w:style>
  <w:style w:type="character" w:styleId="ListLabel3" w:customStyle="1">
    <w:name w:val="ListLabel 3"/>
    <w:uiPriority w:val="99"/>
    <w:qFormat/>
    <w:rsid w:val="007639b7"/>
    <w:rPr/>
  </w:style>
  <w:style w:type="character" w:styleId="ListLabel4" w:customStyle="1">
    <w:name w:val="ListLabel 4"/>
    <w:uiPriority w:val="99"/>
    <w:qFormat/>
    <w:rsid w:val="007639b7"/>
    <w:rPr/>
  </w:style>
  <w:style w:type="character" w:styleId="ListLabel5" w:customStyle="1">
    <w:name w:val="ListLabel 5"/>
    <w:uiPriority w:val="99"/>
    <w:qFormat/>
    <w:rsid w:val="007639b7"/>
    <w:rPr>
      <w:rFonts w:eastAsia="Times New Roman"/>
      <w:sz w:val="22"/>
    </w:rPr>
  </w:style>
  <w:style w:type="character" w:styleId="ListLabel6" w:customStyle="1">
    <w:name w:val="ListLabel 6"/>
    <w:uiPriority w:val="99"/>
    <w:qFormat/>
    <w:rsid w:val="007639b7"/>
    <w:rPr/>
  </w:style>
  <w:style w:type="character" w:styleId="ListLabel7" w:customStyle="1">
    <w:name w:val="ListLabel 7"/>
    <w:uiPriority w:val="99"/>
    <w:qFormat/>
    <w:rsid w:val="007639b7"/>
    <w:rPr/>
  </w:style>
  <w:style w:type="character" w:styleId="ListLabel8" w:customStyle="1">
    <w:name w:val="ListLabel 8"/>
    <w:uiPriority w:val="99"/>
    <w:qFormat/>
    <w:rsid w:val="007639b7"/>
    <w:rPr/>
  </w:style>
  <w:style w:type="character" w:styleId="ListLabel9" w:customStyle="1">
    <w:name w:val="ListLabel 9"/>
    <w:uiPriority w:val="99"/>
    <w:qFormat/>
    <w:rsid w:val="007639b7"/>
    <w:rPr>
      <w:rFonts w:ascii="Calibri" w:hAnsi="Calibri"/>
      <w:sz w:val="22"/>
    </w:rPr>
  </w:style>
  <w:style w:type="character" w:styleId="ListLabel10" w:customStyle="1">
    <w:name w:val="ListLabel 10"/>
    <w:uiPriority w:val="99"/>
    <w:qFormat/>
    <w:rsid w:val="007639b7"/>
    <w:rPr/>
  </w:style>
  <w:style w:type="character" w:styleId="ListLabel11" w:customStyle="1">
    <w:name w:val="ListLabel 11"/>
    <w:uiPriority w:val="99"/>
    <w:qFormat/>
    <w:rsid w:val="007639b7"/>
    <w:rPr/>
  </w:style>
  <w:style w:type="character" w:styleId="ListLabel12" w:customStyle="1">
    <w:name w:val="ListLabel 12"/>
    <w:uiPriority w:val="99"/>
    <w:qFormat/>
    <w:rsid w:val="007639b7"/>
    <w:rPr/>
  </w:style>
  <w:style w:type="character" w:styleId="ListLabel13" w:customStyle="1">
    <w:name w:val="ListLabel 13"/>
    <w:uiPriority w:val="99"/>
    <w:qFormat/>
    <w:rsid w:val="007639b7"/>
    <w:rPr/>
  </w:style>
  <w:style w:type="character" w:styleId="ListLabel14" w:customStyle="1">
    <w:name w:val="ListLabel 14"/>
    <w:uiPriority w:val="99"/>
    <w:qFormat/>
    <w:rsid w:val="007639b7"/>
    <w:rPr/>
  </w:style>
  <w:style w:type="character" w:styleId="ListLabel15" w:customStyle="1">
    <w:name w:val="ListLabel 15"/>
    <w:uiPriority w:val="99"/>
    <w:qFormat/>
    <w:rsid w:val="007639b7"/>
    <w:rPr/>
  </w:style>
  <w:style w:type="character" w:styleId="ListLabel16" w:customStyle="1">
    <w:name w:val="ListLabel 16"/>
    <w:uiPriority w:val="99"/>
    <w:qFormat/>
    <w:rsid w:val="007639b7"/>
    <w:rPr/>
  </w:style>
  <w:style w:type="character" w:styleId="ListLabel17" w:customStyle="1">
    <w:name w:val="ListLabel 17"/>
    <w:uiPriority w:val="99"/>
    <w:qFormat/>
    <w:rsid w:val="007639b7"/>
    <w:rPr/>
  </w:style>
  <w:style w:type="character" w:styleId="ListLabel18" w:customStyle="1">
    <w:name w:val="ListLabel 18"/>
    <w:uiPriority w:val="99"/>
    <w:qFormat/>
    <w:rsid w:val="007639b7"/>
    <w:rPr>
      <w:sz w:val="22"/>
    </w:rPr>
  </w:style>
  <w:style w:type="character" w:styleId="ListLabel19" w:customStyle="1">
    <w:name w:val="ListLabel 19"/>
    <w:uiPriority w:val="99"/>
    <w:qFormat/>
    <w:rsid w:val="007639b7"/>
    <w:rPr/>
  </w:style>
  <w:style w:type="character" w:styleId="ListLabel20" w:customStyle="1">
    <w:name w:val="ListLabel 20"/>
    <w:uiPriority w:val="99"/>
    <w:qFormat/>
    <w:rsid w:val="007639b7"/>
    <w:rPr/>
  </w:style>
  <w:style w:type="character" w:styleId="ListLabel21" w:customStyle="1">
    <w:name w:val="ListLabel 21"/>
    <w:uiPriority w:val="99"/>
    <w:qFormat/>
    <w:rsid w:val="007639b7"/>
    <w:rPr/>
  </w:style>
  <w:style w:type="character" w:styleId="ListLabel22" w:customStyle="1">
    <w:name w:val="ListLabel 22"/>
    <w:uiPriority w:val="99"/>
    <w:qFormat/>
    <w:rsid w:val="007639b7"/>
    <w:rPr/>
  </w:style>
  <w:style w:type="character" w:styleId="ListLabel23" w:customStyle="1">
    <w:name w:val="ListLabel 23"/>
    <w:uiPriority w:val="99"/>
    <w:qFormat/>
    <w:rsid w:val="007639b7"/>
    <w:rPr/>
  </w:style>
  <w:style w:type="character" w:styleId="ListLabel24" w:customStyle="1">
    <w:name w:val="ListLabel 24"/>
    <w:uiPriority w:val="99"/>
    <w:qFormat/>
    <w:rsid w:val="007639b7"/>
    <w:rPr/>
  </w:style>
  <w:style w:type="character" w:styleId="ListLabel25" w:customStyle="1">
    <w:name w:val="ListLabel 25"/>
    <w:uiPriority w:val="99"/>
    <w:qFormat/>
    <w:rsid w:val="007639b7"/>
    <w:rPr/>
  </w:style>
  <w:style w:type="character" w:styleId="ListLabel26" w:customStyle="1">
    <w:name w:val="ListLabel 26"/>
    <w:uiPriority w:val="99"/>
    <w:qFormat/>
    <w:rsid w:val="007639b7"/>
    <w:rPr/>
  </w:style>
  <w:style w:type="character" w:styleId="ListLabel27" w:customStyle="1">
    <w:name w:val="ListLabel 27"/>
    <w:uiPriority w:val="99"/>
    <w:qFormat/>
    <w:rsid w:val="007639b7"/>
    <w:rPr>
      <w:rFonts w:ascii="Calibri" w:hAnsi="Calibri"/>
      <w:sz w:val="22"/>
    </w:rPr>
  </w:style>
  <w:style w:type="character" w:styleId="ListLabel28" w:customStyle="1">
    <w:name w:val="ListLabel 28"/>
    <w:uiPriority w:val="99"/>
    <w:qFormat/>
    <w:rsid w:val="007639b7"/>
    <w:rPr/>
  </w:style>
  <w:style w:type="character" w:styleId="ListLabel29" w:customStyle="1">
    <w:name w:val="ListLabel 29"/>
    <w:uiPriority w:val="99"/>
    <w:qFormat/>
    <w:rsid w:val="007639b7"/>
    <w:rPr/>
  </w:style>
  <w:style w:type="character" w:styleId="ListLabel30" w:customStyle="1">
    <w:name w:val="ListLabel 30"/>
    <w:uiPriority w:val="99"/>
    <w:qFormat/>
    <w:rsid w:val="007639b7"/>
    <w:rPr/>
  </w:style>
  <w:style w:type="character" w:styleId="ListLabel31" w:customStyle="1">
    <w:name w:val="ListLabel 31"/>
    <w:uiPriority w:val="99"/>
    <w:qFormat/>
    <w:rsid w:val="007639b7"/>
    <w:rPr/>
  </w:style>
  <w:style w:type="character" w:styleId="ListLabel32" w:customStyle="1">
    <w:name w:val="ListLabel 32"/>
    <w:uiPriority w:val="99"/>
    <w:qFormat/>
    <w:rsid w:val="007639b7"/>
    <w:rPr/>
  </w:style>
  <w:style w:type="character" w:styleId="ListLabel33" w:customStyle="1">
    <w:name w:val="ListLabel 33"/>
    <w:uiPriority w:val="99"/>
    <w:qFormat/>
    <w:rsid w:val="007639b7"/>
    <w:rPr/>
  </w:style>
  <w:style w:type="character" w:styleId="ListLabel34" w:customStyle="1">
    <w:name w:val="ListLabel 34"/>
    <w:uiPriority w:val="99"/>
    <w:qFormat/>
    <w:rsid w:val="007639b7"/>
    <w:rPr/>
  </w:style>
  <w:style w:type="character" w:styleId="ListLabel35" w:customStyle="1">
    <w:name w:val="ListLabel 35"/>
    <w:uiPriority w:val="99"/>
    <w:qFormat/>
    <w:rsid w:val="007639b7"/>
    <w:rPr/>
  </w:style>
  <w:style w:type="character" w:styleId="BodyTextChar" w:customStyle="1">
    <w:name w:val="Body Text Char"/>
    <w:basedOn w:val="DefaultParagraphFont"/>
    <w:link w:val="BodyText"/>
    <w:uiPriority w:val="99"/>
    <w:semiHidden/>
    <w:qFormat/>
    <w:rsid w:val="00ca2b29"/>
    <w:rPr>
      <w:color w:val="00000A"/>
      <w:lang w:eastAsia="en-US"/>
    </w:rPr>
  </w:style>
  <w:style w:type="character" w:styleId="4nj" w:customStyle="1">
    <w:name w:val="_4n-j"/>
    <w:basedOn w:val="DefaultParagraphFont"/>
    <w:uiPriority w:val="99"/>
    <w:qFormat/>
    <w:rsid w:val="00e7665a"/>
    <w:rPr>
      <w:rFonts w:cs="Times New Roman"/>
    </w:rPr>
  </w:style>
  <w:style w:type="character" w:styleId="Textexposedshow" w:customStyle="1">
    <w:name w:val="text_exposed_show"/>
    <w:basedOn w:val="DefaultParagraphFont"/>
    <w:uiPriority w:val="99"/>
    <w:qFormat/>
    <w:rsid w:val="00e7665a"/>
    <w:rPr>
      <w:rFonts w:cs="Times New Roman"/>
    </w:rPr>
  </w:style>
  <w:style w:type="character" w:styleId="ListLabel36">
    <w:name w:val="ListLabel 36"/>
    <w:qFormat/>
    <w:rPr>
      <w:sz w:val="22"/>
    </w:rPr>
  </w:style>
  <w:style w:type="character" w:styleId="ListLabel37">
    <w:name w:val="ListLabel 37"/>
    <w:qFormat/>
    <w:rPr>
      <w:rFonts w:cs="Times New Roman"/>
      <w:sz w:val="22"/>
      <w:szCs w:val="22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ascii="Calibri" w:hAnsi="Calibri" w:cs="Times New Roman"/>
      <w:sz w:val="22"/>
      <w:szCs w:val="22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  <w:sz w:val="22"/>
      <w:szCs w:val="22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eastAsia="Times New Roman"/>
      <w:b w:val="false"/>
      <w:i w:val="false"/>
    </w:rPr>
  </w:style>
  <w:style w:type="character" w:styleId="ListLabel74">
    <w:name w:val="ListLabel 74"/>
    <w:qFormat/>
    <w:rPr>
      <w:rFonts w:ascii="Calibri" w:hAnsi="Calibri" w:eastAsia="Times New Roman"/>
      <w:b/>
      <w:sz w:val="22"/>
    </w:rPr>
  </w:style>
  <w:style w:type="character" w:styleId="ListLabel75">
    <w:name w:val="ListLabel 75"/>
    <w:qFormat/>
    <w:rPr>
      <w:rFonts w:ascii="Calibri" w:hAnsi="Calibri" w:cs="Times New Roman"/>
      <w:sz w:val="22"/>
      <w:szCs w:val="22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cs="Times New Roman"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  <w:sz w:val="22"/>
      <w:szCs w:val="22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ListLabel89">
    <w:name w:val="ListLabel 89"/>
    <w:qFormat/>
    <w:rPr>
      <w:rFonts w:cs="Times New Roman"/>
    </w:rPr>
  </w:style>
  <w:style w:type="character" w:styleId="ListLabel90">
    <w:name w:val="ListLabel 90"/>
    <w:qFormat/>
    <w:rPr>
      <w:rFonts w:cs="Times New Roman"/>
    </w:rPr>
  </w:style>
  <w:style w:type="character" w:styleId="ListLabel91">
    <w:name w:val="ListLabel 91"/>
    <w:qFormat/>
    <w:rPr>
      <w:rFonts w:cs="Times New Roman"/>
    </w:rPr>
  </w:style>
  <w:style w:type="character" w:styleId="ListLabel92">
    <w:name w:val="ListLabel 92"/>
    <w:qFormat/>
    <w:rPr>
      <w:rFonts w:cs="Times New Roman"/>
    </w:rPr>
  </w:style>
  <w:style w:type="character" w:styleId="ListLabel93">
    <w:name w:val="ListLabel 93"/>
    <w:qFormat/>
    <w:rPr>
      <w:rFonts w:ascii="Calibri" w:hAnsi="Calibri" w:cs="Times New Roman"/>
      <w:sz w:val="22"/>
      <w:szCs w:val="22"/>
    </w:rPr>
  </w:style>
  <w:style w:type="character" w:styleId="ListLabel94">
    <w:name w:val="ListLabel 94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character" w:styleId="ListLabel98">
    <w:name w:val="ListLabel 98"/>
    <w:qFormat/>
    <w:rPr>
      <w:rFonts w:cs="Times New Roman"/>
    </w:rPr>
  </w:style>
  <w:style w:type="character" w:styleId="ListLabel99">
    <w:name w:val="ListLabel 99"/>
    <w:qFormat/>
    <w:rPr>
      <w:rFonts w:cs="Times New Roman"/>
    </w:rPr>
  </w:style>
  <w:style w:type="character" w:styleId="ListLabel100">
    <w:name w:val="ListLabel 100"/>
    <w:qFormat/>
    <w:rPr>
      <w:rFonts w:cs="Times New Roman"/>
    </w:rPr>
  </w:style>
  <w:style w:type="character" w:styleId="ListLabel101">
    <w:name w:val="ListLabel 101"/>
    <w:qFormat/>
    <w:rPr>
      <w:rFonts w:cs="Times New Roman"/>
    </w:rPr>
  </w:style>
  <w:style w:type="character" w:styleId="ListLabel102">
    <w:name w:val="ListLabel 102"/>
    <w:qFormat/>
    <w:rPr>
      <w:rFonts w:ascii="Calibri" w:hAnsi="Calibri" w:cs="Arial"/>
      <w:b/>
      <w:sz w:val="22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Symbol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ascii="Calibri" w:hAnsi="Calibri" w:cs="Times New Roman"/>
      <w:sz w:val="22"/>
      <w:szCs w:val="22"/>
    </w:rPr>
  </w:style>
  <w:style w:type="character" w:styleId="ListLabel112">
    <w:name w:val="ListLabel 112"/>
    <w:qFormat/>
    <w:rPr>
      <w:rFonts w:cs="Times New Roman"/>
    </w:rPr>
  </w:style>
  <w:style w:type="character" w:styleId="ListLabel113">
    <w:name w:val="ListLabel 113"/>
    <w:qFormat/>
    <w:rPr>
      <w:rFonts w:cs="Times New Roman"/>
    </w:rPr>
  </w:style>
  <w:style w:type="character" w:styleId="ListLabel114">
    <w:name w:val="ListLabel 114"/>
    <w:qFormat/>
    <w:rPr>
      <w:rFonts w:cs="Times New Roman"/>
    </w:rPr>
  </w:style>
  <w:style w:type="character" w:styleId="ListLabel115">
    <w:name w:val="ListLabel 115"/>
    <w:qFormat/>
    <w:rPr>
      <w:rFonts w:cs="Times New Roman"/>
    </w:rPr>
  </w:style>
  <w:style w:type="character" w:styleId="ListLabel116">
    <w:name w:val="ListLabel 116"/>
    <w:qFormat/>
    <w:rPr>
      <w:rFonts w:cs="Times New Roman"/>
    </w:rPr>
  </w:style>
  <w:style w:type="character" w:styleId="ListLabel117">
    <w:name w:val="ListLabel 117"/>
    <w:qFormat/>
    <w:rPr>
      <w:rFonts w:cs="Times New Roman"/>
    </w:rPr>
  </w:style>
  <w:style w:type="character" w:styleId="ListLabel118">
    <w:name w:val="ListLabel 118"/>
    <w:qFormat/>
    <w:rPr>
      <w:rFonts w:cs="Times New Roman"/>
    </w:rPr>
  </w:style>
  <w:style w:type="character" w:styleId="ListLabel119">
    <w:name w:val="ListLabel 119"/>
    <w:qFormat/>
    <w:rPr>
      <w:rFonts w:cs="Times New Roman"/>
    </w:rPr>
  </w:style>
  <w:style w:type="character" w:styleId="ListLabel120">
    <w:name w:val="ListLabel 120"/>
    <w:qFormat/>
    <w:rPr>
      <w:rFonts w:cs="Times New Roman"/>
      <w:sz w:val="22"/>
      <w:szCs w:val="22"/>
    </w:rPr>
  </w:style>
  <w:style w:type="character" w:styleId="ListLabel121">
    <w:name w:val="ListLabel 121"/>
    <w:qFormat/>
    <w:rPr>
      <w:rFonts w:cs="Times New Roman"/>
    </w:rPr>
  </w:style>
  <w:style w:type="character" w:styleId="ListLabel122">
    <w:name w:val="ListLabel 122"/>
    <w:qFormat/>
    <w:rPr>
      <w:rFonts w:cs="Times New Roman"/>
    </w:rPr>
  </w:style>
  <w:style w:type="character" w:styleId="ListLabel123">
    <w:name w:val="ListLabel 123"/>
    <w:qFormat/>
    <w:rPr>
      <w:rFonts w:cs="Times New Roman"/>
    </w:rPr>
  </w:style>
  <w:style w:type="character" w:styleId="ListLabel124">
    <w:name w:val="ListLabel 124"/>
    <w:qFormat/>
    <w:rPr>
      <w:rFonts w:cs="Times New Roman"/>
    </w:rPr>
  </w:style>
  <w:style w:type="character" w:styleId="ListLabel125">
    <w:name w:val="ListLabel 125"/>
    <w:qFormat/>
    <w:rPr>
      <w:rFonts w:cs="Times New Roman"/>
    </w:rPr>
  </w:style>
  <w:style w:type="character" w:styleId="ListLabel126">
    <w:name w:val="ListLabel 126"/>
    <w:qFormat/>
    <w:rPr>
      <w:rFonts w:cs="Times New Roman"/>
    </w:rPr>
  </w:style>
  <w:style w:type="character" w:styleId="ListLabel127">
    <w:name w:val="ListLabel 127"/>
    <w:qFormat/>
    <w:rPr>
      <w:rFonts w:cs="Times New Roman"/>
    </w:rPr>
  </w:style>
  <w:style w:type="character" w:styleId="ListLabel128">
    <w:name w:val="ListLabel 128"/>
    <w:qFormat/>
    <w:rPr>
      <w:rFonts w:cs="Times New Roman"/>
    </w:rPr>
  </w:style>
  <w:style w:type="character" w:styleId="ListLabel129">
    <w:name w:val="ListLabel 129"/>
    <w:qFormat/>
    <w:rPr>
      <w:rFonts w:ascii="Calibri" w:hAnsi="Calibri" w:cs="Times New Roman"/>
      <w:sz w:val="22"/>
      <w:szCs w:val="22"/>
    </w:rPr>
  </w:style>
  <w:style w:type="character" w:styleId="ListLabel130">
    <w:name w:val="ListLabel 130"/>
    <w:qFormat/>
    <w:rPr>
      <w:rFonts w:cs="Times New Roman"/>
    </w:rPr>
  </w:style>
  <w:style w:type="character" w:styleId="ListLabel131">
    <w:name w:val="ListLabel 131"/>
    <w:qFormat/>
    <w:rPr>
      <w:rFonts w:cs="Times New Roman"/>
    </w:rPr>
  </w:style>
  <w:style w:type="character" w:styleId="ListLabel132">
    <w:name w:val="ListLabel 132"/>
    <w:qFormat/>
    <w:rPr>
      <w:rFonts w:cs="Times New Roman"/>
    </w:rPr>
  </w:style>
  <w:style w:type="character" w:styleId="ListLabel133">
    <w:name w:val="ListLabel 133"/>
    <w:qFormat/>
    <w:rPr>
      <w:rFonts w:cs="Times New Roman"/>
    </w:rPr>
  </w:style>
  <w:style w:type="character" w:styleId="ListLabel134">
    <w:name w:val="ListLabel 134"/>
    <w:qFormat/>
    <w:rPr>
      <w:rFonts w:cs="Times New Roman"/>
    </w:rPr>
  </w:style>
  <w:style w:type="character" w:styleId="ListLabel135">
    <w:name w:val="ListLabel 135"/>
    <w:qFormat/>
    <w:rPr>
      <w:rFonts w:cs="Times New Roman"/>
    </w:rPr>
  </w:style>
  <w:style w:type="character" w:styleId="ListLabel136">
    <w:name w:val="ListLabel 136"/>
    <w:qFormat/>
    <w:rPr>
      <w:rFonts w:cs="Times New Roman"/>
    </w:rPr>
  </w:style>
  <w:style w:type="character" w:styleId="ListLabel137">
    <w:name w:val="ListLabel 137"/>
    <w:qFormat/>
    <w:rPr>
      <w:rFonts w:cs="Times New Roman"/>
    </w:rPr>
  </w:style>
  <w:style w:type="character" w:styleId="ListLabel138">
    <w:name w:val="ListLabel 138"/>
    <w:qFormat/>
    <w:rPr>
      <w:rFonts w:ascii="Calibri" w:hAnsi="Calibri" w:cs="Arial"/>
      <w:b/>
      <w:sz w:val="22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Symbol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ascii="Calibri" w:hAnsi="Calibri" w:cs="Times New Roman"/>
      <w:sz w:val="22"/>
      <w:szCs w:val="22"/>
    </w:rPr>
  </w:style>
  <w:style w:type="character" w:styleId="ListLabel148">
    <w:name w:val="ListLabel 148"/>
    <w:qFormat/>
    <w:rPr>
      <w:rFonts w:cs="Times New Roman"/>
    </w:rPr>
  </w:style>
  <w:style w:type="character" w:styleId="ListLabel149">
    <w:name w:val="ListLabel 149"/>
    <w:qFormat/>
    <w:rPr>
      <w:rFonts w:cs="Times New Roman"/>
    </w:rPr>
  </w:style>
  <w:style w:type="character" w:styleId="ListLabel150">
    <w:name w:val="ListLabel 150"/>
    <w:qFormat/>
    <w:rPr>
      <w:rFonts w:cs="Times New Roman"/>
    </w:rPr>
  </w:style>
  <w:style w:type="character" w:styleId="ListLabel151">
    <w:name w:val="ListLabel 151"/>
    <w:qFormat/>
    <w:rPr>
      <w:rFonts w:cs="Times New Roman"/>
    </w:rPr>
  </w:style>
  <w:style w:type="character" w:styleId="ListLabel152">
    <w:name w:val="ListLabel 152"/>
    <w:qFormat/>
    <w:rPr>
      <w:rFonts w:cs="Times New Roman"/>
    </w:rPr>
  </w:style>
  <w:style w:type="character" w:styleId="ListLabel153">
    <w:name w:val="ListLabel 153"/>
    <w:qFormat/>
    <w:rPr>
      <w:rFonts w:cs="Times New Roman"/>
    </w:rPr>
  </w:style>
  <w:style w:type="character" w:styleId="ListLabel154">
    <w:name w:val="ListLabel 154"/>
    <w:qFormat/>
    <w:rPr>
      <w:rFonts w:cs="Times New Roman"/>
    </w:rPr>
  </w:style>
  <w:style w:type="character" w:styleId="ListLabel155">
    <w:name w:val="ListLabel 155"/>
    <w:qFormat/>
    <w:rPr>
      <w:rFonts w:cs="Times New Roman"/>
    </w:rPr>
  </w:style>
  <w:style w:type="character" w:styleId="ListLabel156">
    <w:name w:val="ListLabel 156"/>
    <w:qFormat/>
    <w:rPr>
      <w:rFonts w:cs="Times New Roman"/>
      <w:sz w:val="22"/>
      <w:szCs w:val="22"/>
    </w:rPr>
  </w:style>
  <w:style w:type="character" w:styleId="ListLabel157">
    <w:name w:val="ListLabel 157"/>
    <w:qFormat/>
    <w:rPr>
      <w:rFonts w:cs="Times New Roman"/>
    </w:rPr>
  </w:style>
  <w:style w:type="character" w:styleId="ListLabel158">
    <w:name w:val="ListLabel 158"/>
    <w:qFormat/>
    <w:rPr>
      <w:rFonts w:cs="Times New Roman"/>
    </w:rPr>
  </w:style>
  <w:style w:type="character" w:styleId="ListLabel159">
    <w:name w:val="ListLabel 159"/>
    <w:qFormat/>
    <w:rPr>
      <w:rFonts w:cs="Times New Roman"/>
    </w:rPr>
  </w:style>
  <w:style w:type="character" w:styleId="ListLabel160">
    <w:name w:val="ListLabel 160"/>
    <w:qFormat/>
    <w:rPr>
      <w:rFonts w:cs="Times New Roman"/>
    </w:rPr>
  </w:style>
  <w:style w:type="character" w:styleId="ListLabel161">
    <w:name w:val="ListLabel 161"/>
    <w:qFormat/>
    <w:rPr>
      <w:rFonts w:cs="Times New Roman"/>
    </w:rPr>
  </w:style>
  <w:style w:type="character" w:styleId="ListLabel162">
    <w:name w:val="ListLabel 162"/>
    <w:qFormat/>
    <w:rPr>
      <w:rFonts w:cs="Times New Roman"/>
    </w:rPr>
  </w:style>
  <w:style w:type="character" w:styleId="ListLabel163">
    <w:name w:val="ListLabel 163"/>
    <w:qFormat/>
    <w:rPr>
      <w:rFonts w:cs="Times New Roman"/>
    </w:rPr>
  </w:style>
  <w:style w:type="character" w:styleId="ListLabel164">
    <w:name w:val="ListLabel 164"/>
    <w:qFormat/>
    <w:rPr>
      <w:rFonts w:cs="Times New Roman"/>
    </w:rPr>
  </w:style>
  <w:style w:type="character" w:styleId="ListLabel165">
    <w:name w:val="ListLabel 165"/>
    <w:qFormat/>
    <w:rPr>
      <w:rFonts w:cs="Times New Roman"/>
      <w:sz w:val="22"/>
      <w:szCs w:val="22"/>
    </w:rPr>
  </w:style>
  <w:style w:type="character" w:styleId="ListLabel166">
    <w:name w:val="ListLabel 166"/>
    <w:qFormat/>
    <w:rPr>
      <w:rFonts w:cs="Times New Roman"/>
    </w:rPr>
  </w:style>
  <w:style w:type="character" w:styleId="ListLabel167">
    <w:name w:val="ListLabel 167"/>
    <w:qFormat/>
    <w:rPr>
      <w:rFonts w:cs="Times New Roman"/>
    </w:rPr>
  </w:style>
  <w:style w:type="character" w:styleId="ListLabel168">
    <w:name w:val="ListLabel 168"/>
    <w:qFormat/>
    <w:rPr>
      <w:rFonts w:cs="Times New Roman"/>
    </w:rPr>
  </w:style>
  <w:style w:type="character" w:styleId="ListLabel169">
    <w:name w:val="ListLabel 169"/>
    <w:qFormat/>
    <w:rPr>
      <w:rFonts w:cs="Times New Roman"/>
    </w:rPr>
  </w:style>
  <w:style w:type="character" w:styleId="ListLabel170">
    <w:name w:val="ListLabel 170"/>
    <w:qFormat/>
    <w:rPr>
      <w:rFonts w:cs="Times New Roman"/>
    </w:rPr>
  </w:style>
  <w:style w:type="character" w:styleId="ListLabel171">
    <w:name w:val="ListLabel 171"/>
    <w:qFormat/>
    <w:rPr>
      <w:rFonts w:cs="Times New Roman"/>
    </w:rPr>
  </w:style>
  <w:style w:type="character" w:styleId="ListLabel172">
    <w:name w:val="ListLabel 172"/>
    <w:qFormat/>
    <w:rPr>
      <w:rFonts w:cs="Times New Roman"/>
    </w:rPr>
  </w:style>
  <w:style w:type="character" w:styleId="ListLabel173">
    <w:name w:val="ListLabel 173"/>
    <w:qFormat/>
    <w:rPr>
      <w:rFonts w:cs="Times New Roman"/>
    </w:rPr>
  </w:style>
  <w:style w:type="character" w:styleId="ListLabel174">
    <w:name w:val="ListLabel 174"/>
    <w:qFormat/>
    <w:rPr>
      <w:rFonts w:ascii="Calibri" w:hAnsi="Calibri" w:cs="Arial"/>
      <w:b/>
      <w:sz w:val="22"/>
    </w:rPr>
  </w:style>
  <w:style w:type="character" w:styleId="ListLabel175">
    <w:name w:val="ListLabel 175"/>
    <w:qFormat/>
    <w:rPr>
      <w:rFonts w:cs="Courier New"/>
    </w:rPr>
  </w:style>
  <w:style w:type="character" w:styleId="ListLabel176">
    <w:name w:val="ListLabel 176"/>
    <w:qFormat/>
    <w:rPr>
      <w:rFonts w:cs="Wingdings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cs="Courier New"/>
    </w:rPr>
  </w:style>
  <w:style w:type="character" w:styleId="ListLabel179">
    <w:name w:val="ListLabel 179"/>
    <w:qFormat/>
    <w:rPr>
      <w:rFonts w:cs="Wingdings"/>
    </w:rPr>
  </w:style>
  <w:style w:type="character" w:styleId="ListLabel180">
    <w:name w:val="ListLabel 180"/>
    <w:qFormat/>
    <w:rPr>
      <w:rFonts w:cs="Symbol"/>
    </w:rPr>
  </w:style>
  <w:style w:type="character" w:styleId="ListLabel181">
    <w:name w:val="ListLabel 181"/>
    <w:qFormat/>
    <w:rPr>
      <w:rFonts w:cs="Courier New"/>
    </w:rPr>
  </w:style>
  <w:style w:type="character" w:styleId="ListLabel182">
    <w:name w:val="ListLabel 182"/>
    <w:qFormat/>
    <w:rPr>
      <w:rFonts w:cs="Wingdings"/>
    </w:rPr>
  </w:style>
  <w:style w:type="character" w:styleId="ListLabel183">
    <w:name w:val="ListLabel 183"/>
    <w:qFormat/>
    <w:rPr>
      <w:rFonts w:ascii="Calibri" w:hAnsi="Calibri" w:cs="Times New Roman"/>
      <w:sz w:val="22"/>
      <w:szCs w:val="22"/>
    </w:rPr>
  </w:style>
  <w:style w:type="character" w:styleId="ListLabel184">
    <w:name w:val="ListLabel 184"/>
    <w:qFormat/>
    <w:rPr>
      <w:rFonts w:cs="Times New Roman"/>
    </w:rPr>
  </w:style>
  <w:style w:type="character" w:styleId="ListLabel185">
    <w:name w:val="ListLabel 185"/>
    <w:qFormat/>
    <w:rPr>
      <w:rFonts w:cs="Times New Roman"/>
    </w:rPr>
  </w:style>
  <w:style w:type="character" w:styleId="ListLabel186">
    <w:name w:val="ListLabel 186"/>
    <w:qFormat/>
    <w:rPr>
      <w:rFonts w:cs="Times New Roman"/>
    </w:rPr>
  </w:style>
  <w:style w:type="character" w:styleId="ListLabel187">
    <w:name w:val="ListLabel 187"/>
    <w:qFormat/>
    <w:rPr>
      <w:rFonts w:cs="Times New Roman"/>
    </w:rPr>
  </w:style>
  <w:style w:type="character" w:styleId="ListLabel188">
    <w:name w:val="ListLabel 188"/>
    <w:qFormat/>
    <w:rPr>
      <w:rFonts w:cs="Times New Roman"/>
    </w:rPr>
  </w:style>
  <w:style w:type="character" w:styleId="ListLabel189">
    <w:name w:val="ListLabel 189"/>
    <w:qFormat/>
    <w:rPr>
      <w:rFonts w:cs="Times New Roman"/>
    </w:rPr>
  </w:style>
  <w:style w:type="character" w:styleId="ListLabel190">
    <w:name w:val="ListLabel 190"/>
    <w:qFormat/>
    <w:rPr>
      <w:rFonts w:cs="Times New Roman"/>
    </w:rPr>
  </w:style>
  <w:style w:type="character" w:styleId="ListLabel191">
    <w:name w:val="ListLabel 191"/>
    <w:qFormat/>
    <w:rPr>
      <w:rFonts w:cs="Times New Roman"/>
    </w:rPr>
  </w:style>
  <w:style w:type="character" w:styleId="ListLabel192">
    <w:name w:val="ListLabel 192"/>
    <w:qFormat/>
    <w:rPr>
      <w:rFonts w:cs="Times New Roman"/>
      <w:sz w:val="22"/>
      <w:szCs w:val="22"/>
    </w:rPr>
  </w:style>
  <w:style w:type="character" w:styleId="ListLabel193">
    <w:name w:val="ListLabel 193"/>
    <w:qFormat/>
    <w:rPr>
      <w:rFonts w:cs="Times New Roman"/>
    </w:rPr>
  </w:style>
  <w:style w:type="character" w:styleId="ListLabel194">
    <w:name w:val="ListLabel 194"/>
    <w:qFormat/>
    <w:rPr>
      <w:rFonts w:cs="Times New Roman"/>
    </w:rPr>
  </w:style>
  <w:style w:type="character" w:styleId="ListLabel195">
    <w:name w:val="ListLabel 195"/>
    <w:qFormat/>
    <w:rPr>
      <w:rFonts w:cs="Times New Roman"/>
    </w:rPr>
  </w:style>
  <w:style w:type="character" w:styleId="ListLabel196">
    <w:name w:val="ListLabel 196"/>
    <w:qFormat/>
    <w:rPr>
      <w:rFonts w:cs="Times New Roman"/>
    </w:rPr>
  </w:style>
  <w:style w:type="character" w:styleId="ListLabel197">
    <w:name w:val="ListLabel 197"/>
    <w:qFormat/>
    <w:rPr>
      <w:rFonts w:cs="Times New Roman"/>
    </w:rPr>
  </w:style>
  <w:style w:type="character" w:styleId="ListLabel198">
    <w:name w:val="ListLabel 198"/>
    <w:qFormat/>
    <w:rPr>
      <w:rFonts w:cs="Times New Roman"/>
    </w:rPr>
  </w:style>
  <w:style w:type="character" w:styleId="ListLabel199">
    <w:name w:val="ListLabel 199"/>
    <w:qFormat/>
    <w:rPr>
      <w:rFonts w:cs="Times New Roman"/>
    </w:rPr>
  </w:style>
  <w:style w:type="character" w:styleId="ListLabel200">
    <w:name w:val="ListLabel 200"/>
    <w:qFormat/>
    <w:rPr>
      <w:rFonts w:cs="Times New Roman"/>
    </w:rPr>
  </w:style>
  <w:style w:type="character" w:styleId="ListLabel201">
    <w:name w:val="ListLabel 201"/>
    <w:qFormat/>
    <w:rPr>
      <w:rFonts w:cs="Times New Roman"/>
      <w:sz w:val="22"/>
      <w:szCs w:val="22"/>
    </w:rPr>
  </w:style>
  <w:style w:type="character" w:styleId="ListLabel202">
    <w:name w:val="ListLabel 202"/>
    <w:qFormat/>
    <w:rPr>
      <w:rFonts w:cs="Times New Roman"/>
    </w:rPr>
  </w:style>
  <w:style w:type="character" w:styleId="ListLabel203">
    <w:name w:val="ListLabel 203"/>
    <w:qFormat/>
    <w:rPr>
      <w:rFonts w:cs="Times New Roman"/>
    </w:rPr>
  </w:style>
  <w:style w:type="character" w:styleId="ListLabel204">
    <w:name w:val="ListLabel 204"/>
    <w:qFormat/>
    <w:rPr>
      <w:rFonts w:cs="Times New Roman"/>
    </w:rPr>
  </w:style>
  <w:style w:type="character" w:styleId="ListLabel205">
    <w:name w:val="ListLabel 205"/>
    <w:qFormat/>
    <w:rPr>
      <w:rFonts w:cs="Times New Roman"/>
    </w:rPr>
  </w:style>
  <w:style w:type="character" w:styleId="ListLabel206">
    <w:name w:val="ListLabel 206"/>
    <w:qFormat/>
    <w:rPr>
      <w:rFonts w:cs="Times New Roman"/>
    </w:rPr>
  </w:style>
  <w:style w:type="character" w:styleId="ListLabel207">
    <w:name w:val="ListLabel 207"/>
    <w:qFormat/>
    <w:rPr>
      <w:rFonts w:cs="Times New Roman"/>
    </w:rPr>
  </w:style>
  <w:style w:type="character" w:styleId="ListLabel208">
    <w:name w:val="ListLabel 208"/>
    <w:qFormat/>
    <w:rPr>
      <w:rFonts w:cs="Times New Roman"/>
    </w:rPr>
  </w:style>
  <w:style w:type="character" w:styleId="ListLabel209">
    <w:name w:val="ListLabel 209"/>
    <w:qFormat/>
    <w:rPr>
      <w:rFonts w:cs="Times New Roman"/>
    </w:rPr>
  </w:style>
  <w:style w:type="character" w:styleId="ListLabel210">
    <w:name w:val="ListLabel 210"/>
    <w:qFormat/>
    <w:rPr>
      <w:rFonts w:ascii="Calibri" w:hAnsi="Calibri" w:cs="Arial"/>
      <w:b/>
      <w:sz w:val="22"/>
    </w:rPr>
  </w:style>
  <w:style w:type="character" w:styleId="ListLabel211">
    <w:name w:val="ListLabel 211"/>
    <w:qFormat/>
    <w:rPr>
      <w:rFonts w:cs="Courier New"/>
    </w:rPr>
  </w:style>
  <w:style w:type="character" w:styleId="ListLabel212">
    <w:name w:val="ListLabel 212"/>
    <w:qFormat/>
    <w:rPr>
      <w:rFonts w:cs="Wingdings"/>
    </w:rPr>
  </w:style>
  <w:style w:type="character" w:styleId="ListLabel213">
    <w:name w:val="ListLabel 213"/>
    <w:qFormat/>
    <w:rPr>
      <w:rFonts w:cs="Symbol"/>
    </w:rPr>
  </w:style>
  <w:style w:type="character" w:styleId="ListLabel214">
    <w:name w:val="ListLabel 214"/>
    <w:qFormat/>
    <w:rPr>
      <w:rFonts w:cs="Courier New"/>
    </w:rPr>
  </w:style>
  <w:style w:type="character" w:styleId="ListLabel215">
    <w:name w:val="ListLabel 215"/>
    <w:qFormat/>
    <w:rPr>
      <w:rFonts w:cs="Wingdings"/>
    </w:rPr>
  </w:style>
  <w:style w:type="character" w:styleId="ListLabel216">
    <w:name w:val="ListLabel 216"/>
    <w:qFormat/>
    <w:rPr>
      <w:rFonts w:cs="Symbol"/>
    </w:rPr>
  </w:style>
  <w:style w:type="character" w:styleId="ListLabel217">
    <w:name w:val="ListLabel 217"/>
    <w:qFormat/>
    <w:rPr>
      <w:rFonts w:cs="Courier New"/>
    </w:rPr>
  </w:style>
  <w:style w:type="character" w:styleId="ListLabel218">
    <w:name w:val="ListLabel 218"/>
    <w:qFormat/>
    <w:rPr>
      <w:rFonts w:cs="Wingdings"/>
    </w:rPr>
  </w:style>
  <w:style w:type="character" w:styleId="ListLabel219">
    <w:name w:val="ListLabel 219"/>
    <w:qFormat/>
    <w:rPr>
      <w:rFonts w:ascii="Calibri" w:hAnsi="Calibri" w:cs="Times New Roman"/>
      <w:sz w:val="22"/>
      <w:szCs w:val="22"/>
    </w:rPr>
  </w:style>
  <w:style w:type="character" w:styleId="ListLabel220">
    <w:name w:val="ListLabel 220"/>
    <w:qFormat/>
    <w:rPr>
      <w:rFonts w:cs="Times New Roman"/>
    </w:rPr>
  </w:style>
  <w:style w:type="character" w:styleId="ListLabel221">
    <w:name w:val="ListLabel 221"/>
    <w:qFormat/>
    <w:rPr>
      <w:rFonts w:cs="Times New Roman"/>
    </w:rPr>
  </w:style>
  <w:style w:type="character" w:styleId="ListLabel222">
    <w:name w:val="ListLabel 222"/>
    <w:qFormat/>
    <w:rPr>
      <w:rFonts w:cs="Times New Roman"/>
    </w:rPr>
  </w:style>
  <w:style w:type="character" w:styleId="ListLabel223">
    <w:name w:val="ListLabel 223"/>
    <w:qFormat/>
    <w:rPr>
      <w:rFonts w:cs="Times New Roman"/>
    </w:rPr>
  </w:style>
  <w:style w:type="character" w:styleId="ListLabel224">
    <w:name w:val="ListLabel 224"/>
    <w:qFormat/>
    <w:rPr>
      <w:rFonts w:cs="Times New Roman"/>
    </w:rPr>
  </w:style>
  <w:style w:type="character" w:styleId="ListLabel225">
    <w:name w:val="ListLabel 225"/>
    <w:qFormat/>
    <w:rPr>
      <w:rFonts w:cs="Times New Roman"/>
    </w:rPr>
  </w:style>
  <w:style w:type="character" w:styleId="ListLabel226">
    <w:name w:val="ListLabel 226"/>
    <w:qFormat/>
    <w:rPr>
      <w:rFonts w:cs="Times New Roman"/>
    </w:rPr>
  </w:style>
  <w:style w:type="character" w:styleId="ListLabel227">
    <w:name w:val="ListLabel 227"/>
    <w:qFormat/>
    <w:rPr>
      <w:rFonts w:cs="Times New Roman"/>
    </w:rPr>
  </w:style>
  <w:style w:type="character" w:styleId="ListLabel228">
    <w:name w:val="ListLabel 228"/>
    <w:qFormat/>
    <w:rPr>
      <w:rFonts w:cs="Times New Roman"/>
      <w:sz w:val="22"/>
      <w:szCs w:val="22"/>
    </w:rPr>
  </w:style>
  <w:style w:type="character" w:styleId="ListLabel229">
    <w:name w:val="ListLabel 229"/>
    <w:qFormat/>
    <w:rPr>
      <w:rFonts w:cs="Times New Roman"/>
    </w:rPr>
  </w:style>
  <w:style w:type="character" w:styleId="ListLabel230">
    <w:name w:val="ListLabel 230"/>
    <w:qFormat/>
    <w:rPr>
      <w:rFonts w:cs="Times New Roman"/>
    </w:rPr>
  </w:style>
  <w:style w:type="character" w:styleId="ListLabel231">
    <w:name w:val="ListLabel 231"/>
    <w:qFormat/>
    <w:rPr>
      <w:rFonts w:cs="Times New Roman"/>
    </w:rPr>
  </w:style>
  <w:style w:type="character" w:styleId="ListLabel232">
    <w:name w:val="ListLabel 232"/>
    <w:qFormat/>
    <w:rPr>
      <w:rFonts w:cs="Times New Roman"/>
    </w:rPr>
  </w:style>
  <w:style w:type="character" w:styleId="ListLabel233">
    <w:name w:val="ListLabel 233"/>
    <w:qFormat/>
    <w:rPr>
      <w:rFonts w:cs="Times New Roman"/>
    </w:rPr>
  </w:style>
  <w:style w:type="character" w:styleId="ListLabel234">
    <w:name w:val="ListLabel 234"/>
    <w:qFormat/>
    <w:rPr>
      <w:rFonts w:cs="Times New Roman"/>
    </w:rPr>
  </w:style>
  <w:style w:type="character" w:styleId="ListLabel235">
    <w:name w:val="ListLabel 235"/>
    <w:qFormat/>
    <w:rPr>
      <w:rFonts w:cs="Times New Roman"/>
    </w:rPr>
  </w:style>
  <w:style w:type="character" w:styleId="ListLabel236">
    <w:name w:val="ListLabel 236"/>
    <w:qFormat/>
    <w:rPr>
      <w:rFonts w:cs="Times New Roman"/>
    </w:rPr>
  </w:style>
  <w:style w:type="character" w:styleId="ListLabel237">
    <w:name w:val="ListLabel 237"/>
    <w:qFormat/>
    <w:rPr>
      <w:rFonts w:cs="Times New Roman"/>
      <w:sz w:val="22"/>
      <w:szCs w:val="22"/>
    </w:rPr>
  </w:style>
  <w:style w:type="character" w:styleId="ListLabel238">
    <w:name w:val="ListLabel 238"/>
    <w:qFormat/>
    <w:rPr>
      <w:rFonts w:cs="Times New Roman"/>
    </w:rPr>
  </w:style>
  <w:style w:type="character" w:styleId="ListLabel239">
    <w:name w:val="ListLabel 239"/>
    <w:qFormat/>
    <w:rPr>
      <w:rFonts w:cs="Times New Roman"/>
    </w:rPr>
  </w:style>
  <w:style w:type="character" w:styleId="ListLabel240">
    <w:name w:val="ListLabel 240"/>
    <w:qFormat/>
    <w:rPr>
      <w:rFonts w:cs="Times New Roman"/>
    </w:rPr>
  </w:style>
  <w:style w:type="character" w:styleId="ListLabel241">
    <w:name w:val="ListLabel 241"/>
    <w:qFormat/>
    <w:rPr>
      <w:rFonts w:cs="Times New Roman"/>
    </w:rPr>
  </w:style>
  <w:style w:type="character" w:styleId="ListLabel242">
    <w:name w:val="ListLabel 242"/>
    <w:qFormat/>
    <w:rPr>
      <w:rFonts w:cs="Times New Roman"/>
    </w:rPr>
  </w:style>
  <w:style w:type="character" w:styleId="ListLabel243">
    <w:name w:val="ListLabel 243"/>
    <w:qFormat/>
    <w:rPr>
      <w:rFonts w:cs="Times New Roman"/>
    </w:rPr>
  </w:style>
  <w:style w:type="character" w:styleId="ListLabel244">
    <w:name w:val="ListLabel 244"/>
    <w:qFormat/>
    <w:rPr>
      <w:rFonts w:cs="Times New Roman"/>
    </w:rPr>
  </w:style>
  <w:style w:type="character" w:styleId="ListLabel245">
    <w:name w:val="ListLabel 245"/>
    <w:qFormat/>
    <w:rPr>
      <w:rFonts w:cs="Times New Roman"/>
    </w:rPr>
  </w:style>
  <w:style w:type="character" w:styleId="ListLabel246">
    <w:name w:val="ListLabel 246"/>
    <w:qFormat/>
    <w:rPr>
      <w:rFonts w:ascii="Calibri" w:hAnsi="Calibri" w:cs="Arial"/>
      <w:b/>
      <w:sz w:val="22"/>
    </w:rPr>
  </w:style>
  <w:style w:type="character" w:styleId="ListLabel247">
    <w:name w:val="ListLabel 247"/>
    <w:qFormat/>
    <w:rPr>
      <w:rFonts w:cs="Courier New"/>
    </w:rPr>
  </w:style>
  <w:style w:type="character" w:styleId="ListLabel248">
    <w:name w:val="ListLabel 248"/>
    <w:qFormat/>
    <w:rPr>
      <w:rFonts w:cs="Wingdings"/>
    </w:rPr>
  </w:style>
  <w:style w:type="character" w:styleId="ListLabel249">
    <w:name w:val="ListLabel 249"/>
    <w:qFormat/>
    <w:rPr>
      <w:rFonts w:cs="Symbol"/>
    </w:rPr>
  </w:style>
  <w:style w:type="character" w:styleId="ListLabel250">
    <w:name w:val="ListLabel 250"/>
    <w:qFormat/>
    <w:rPr>
      <w:rFonts w:cs="Courier New"/>
    </w:rPr>
  </w:style>
  <w:style w:type="character" w:styleId="ListLabel251">
    <w:name w:val="ListLabel 251"/>
    <w:qFormat/>
    <w:rPr>
      <w:rFonts w:cs="Wingdings"/>
    </w:rPr>
  </w:style>
  <w:style w:type="character" w:styleId="ListLabel252">
    <w:name w:val="ListLabel 252"/>
    <w:qFormat/>
    <w:rPr>
      <w:rFonts w:cs="Symbol"/>
    </w:rPr>
  </w:style>
  <w:style w:type="character" w:styleId="ListLabel253">
    <w:name w:val="ListLabel 253"/>
    <w:qFormat/>
    <w:rPr>
      <w:rFonts w:cs="Courier New"/>
    </w:rPr>
  </w:style>
  <w:style w:type="character" w:styleId="ListLabel254">
    <w:name w:val="ListLabel 254"/>
    <w:qFormat/>
    <w:rPr>
      <w:rFonts w:cs="Wingdings"/>
    </w:rPr>
  </w:style>
  <w:style w:type="character" w:styleId="ListLabel255">
    <w:name w:val="ListLabel 255"/>
    <w:qFormat/>
    <w:rPr>
      <w:rFonts w:ascii="Calibri" w:hAnsi="Calibri" w:cs="Times New Roman"/>
      <w:sz w:val="22"/>
      <w:szCs w:val="22"/>
    </w:rPr>
  </w:style>
  <w:style w:type="character" w:styleId="ListLabel256">
    <w:name w:val="ListLabel 256"/>
    <w:qFormat/>
    <w:rPr>
      <w:rFonts w:cs="Times New Roman"/>
    </w:rPr>
  </w:style>
  <w:style w:type="character" w:styleId="ListLabel257">
    <w:name w:val="ListLabel 257"/>
    <w:qFormat/>
    <w:rPr>
      <w:rFonts w:cs="Times New Roman"/>
    </w:rPr>
  </w:style>
  <w:style w:type="character" w:styleId="ListLabel258">
    <w:name w:val="ListLabel 258"/>
    <w:qFormat/>
    <w:rPr>
      <w:rFonts w:cs="Times New Roman"/>
    </w:rPr>
  </w:style>
  <w:style w:type="character" w:styleId="ListLabel259">
    <w:name w:val="ListLabel 259"/>
    <w:qFormat/>
    <w:rPr>
      <w:rFonts w:cs="Times New Roman"/>
    </w:rPr>
  </w:style>
  <w:style w:type="character" w:styleId="ListLabel260">
    <w:name w:val="ListLabel 260"/>
    <w:qFormat/>
    <w:rPr>
      <w:rFonts w:cs="Times New Roman"/>
    </w:rPr>
  </w:style>
  <w:style w:type="character" w:styleId="ListLabel261">
    <w:name w:val="ListLabel 261"/>
    <w:qFormat/>
    <w:rPr>
      <w:rFonts w:cs="Times New Roman"/>
    </w:rPr>
  </w:style>
  <w:style w:type="character" w:styleId="ListLabel262">
    <w:name w:val="ListLabel 262"/>
    <w:qFormat/>
    <w:rPr>
      <w:rFonts w:cs="Times New Roman"/>
    </w:rPr>
  </w:style>
  <w:style w:type="character" w:styleId="ListLabel263">
    <w:name w:val="ListLabel 263"/>
    <w:qFormat/>
    <w:rPr>
      <w:rFonts w:cs="Times New Roman"/>
    </w:rPr>
  </w:style>
  <w:style w:type="paragraph" w:styleId="Stilnaslova" w:customStyle="1">
    <w:name w:val="Stil naslova"/>
    <w:basedOn w:val="Normal"/>
    <w:next w:val="Tijeloteksta"/>
    <w:uiPriority w:val="99"/>
    <w:qFormat/>
    <w:rsid w:val="007639b7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ijeloteksta">
    <w:name w:val="Body Text"/>
    <w:basedOn w:val="Normal"/>
    <w:link w:val="BodyTextChar"/>
    <w:uiPriority w:val="99"/>
    <w:rsid w:val="007639b7"/>
    <w:pPr>
      <w:spacing w:lineRule="auto" w:line="288" w:before="0" w:after="140"/>
    </w:pPr>
    <w:rPr/>
  </w:style>
  <w:style w:type="paragraph" w:styleId="Popis">
    <w:name w:val="List"/>
    <w:basedOn w:val="Tijeloteksta"/>
    <w:uiPriority w:val="99"/>
    <w:rsid w:val="007639b7"/>
    <w:pPr/>
    <w:rPr>
      <w:rFonts w:cs="Mang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uiPriority w:val="99"/>
    <w:qFormat/>
    <w:rsid w:val="007639b7"/>
    <w:pPr>
      <w:suppressLineNumbers/>
    </w:pPr>
    <w:rPr>
      <w:rFonts w:cs="Mangal"/>
    </w:rPr>
  </w:style>
  <w:style w:type="paragraph" w:styleId="Caption">
    <w:name w:val="caption"/>
    <w:basedOn w:val="Normal"/>
    <w:uiPriority w:val="99"/>
    <w:qFormat/>
    <w:rsid w:val="007639b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/>
      <w:sz w:val="24"/>
      <w:szCs w:val="24"/>
      <w:lang w:eastAsia="hr-HR"/>
    </w:rPr>
  </w:style>
  <w:style w:type="paragraph" w:styleId="Sadrajitablice">
    <w:name w:val="Sadržaji tabl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233</TotalTime>
  <Application>LibreOffice/5.2.5.1$Windows_X86_64 LibreOffice_project/0312e1a284a7d50ca85a365c316c7abbf20a4d22</Application>
  <Pages>9</Pages>
  <Words>1740</Words>
  <Characters>10377</Characters>
  <CharactersWithSpaces>12474</CharactersWithSpaces>
  <Paragraphs>149</Paragraphs>
  <Company>Pučko otvoreno učilište "Ante Babić" Umag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2017-02-24T07:54:00Z</dcterms:created>
  <dc:creator>Mirela Zukić</dc:creator>
  <dc:description/>
  <dc:language>hr-HR</dc:language>
  <cp:lastModifiedBy/>
  <cp:lastPrinted>2017-10-25T12:53:57Z</cp:lastPrinted>
  <dcterms:modified xsi:type="dcterms:W3CDTF">2018-02-20T15:26:46Z</dcterms:modified>
  <cp:revision>46</cp:revision>
  <dc:subject/>
  <dc:title>PUČKO OTVORENO UČILIŠTE BUJE UNIVERSITÀ POPOLARE APERTA BUIE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Pučko otvoreno učilište "Ante Babić" Umag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